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2D" w:rsidRPr="002974FC" w:rsidRDefault="001C69EC" w:rsidP="00560C90">
      <w:pPr>
        <w:spacing w:after="0" w:line="240" w:lineRule="auto"/>
        <w:jc w:val="center"/>
        <w:rPr>
          <w:rFonts w:cstheme="minorHAnsi"/>
          <w:b/>
          <w:sz w:val="24"/>
          <w:szCs w:val="24"/>
        </w:rPr>
      </w:pPr>
      <w:bookmarkStart w:id="0" w:name="_GoBack"/>
      <w:bookmarkEnd w:id="0"/>
      <w:r w:rsidRPr="002974FC">
        <w:rPr>
          <w:rFonts w:cstheme="minorHAnsi"/>
          <w:b/>
          <w:sz w:val="24"/>
          <w:szCs w:val="24"/>
        </w:rPr>
        <w:t xml:space="preserve">BANDO PER L’ASSEGNAZIONE DEL </w:t>
      </w:r>
      <w:r w:rsidR="000D722D" w:rsidRPr="002974FC">
        <w:rPr>
          <w:rFonts w:cstheme="minorHAnsi"/>
          <w:b/>
          <w:sz w:val="24"/>
          <w:szCs w:val="24"/>
        </w:rPr>
        <w:t>PREMIO DI LAUREA</w:t>
      </w:r>
    </w:p>
    <w:p w:rsidR="00ED5A72" w:rsidRPr="002974FC" w:rsidRDefault="000D722D" w:rsidP="00560C90">
      <w:pPr>
        <w:spacing w:after="0" w:line="240" w:lineRule="auto"/>
        <w:jc w:val="center"/>
        <w:rPr>
          <w:rFonts w:cstheme="minorHAnsi"/>
          <w:b/>
          <w:i/>
          <w:sz w:val="24"/>
          <w:szCs w:val="24"/>
        </w:rPr>
      </w:pPr>
      <w:r w:rsidRPr="002974FC">
        <w:rPr>
          <w:rFonts w:cstheme="minorHAnsi"/>
          <w:b/>
          <w:i/>
          <w:sz w:val="24"/>
          <w:szCs w:val="24"/>
        </w:rPr>
        <w:t>AAA TALENTI CERCASI</w:t>
      </w:r>
    </w:p>
    <w:p w:rsidR="00404318" w:rsidRPr="002974FC" w:rsidRDefault="00404318" w:rsidP="00560C90">
      <w:pPr>
        <w:spacing w:after="0" w:line="240" w:lineRule="auto"/>
        <w:jc w:val="center"/>
        <w:rPr>
          <w:rFonts w:cstheme="minorHAnsi"/>
          <w:b/>
          <w:i/>
          <w:sz w:val="24"/>
          <w:szCs w:val="24"/>
        </w:rPr>
      </w:pPr>
      <w:r w:rsidRPr="002974FC">
        <w:rPr>
          <w:rFonts w:cstheme="minorHAnsi"/>
          <w:b/>
          <w:i/>
          <w:sz w:val="24"/>
          <w:szCs w:val="24"/>
        </w:rPr>
        <w:t>I</w:t>
      </w:r>
      <w:r w:rsidR="00463DC5" w:rsidRPr="002974FC">
        <w:rPr>
          <w:rFonts w:cstheme="minorHAnsi"/>
          <w:b/>
          <w:i/>
          <w:sz w:val="24"/>
          <w:szCs w:val="24"/>
        </w:rPr>
        <w:t>I</w:t>
      </w:r>
      <w:r w:rsidRPr="002974FC">
        <w:rPr>
          <w:rFonts w:cstheme="minorHAnsi"/>
          <w:b/>
          <w:i/>
          <w:sz w:val="24"/>
          <w:szCs w:val="24"/>
        </w:rPr>
        <w:t xml:space="preserve"> edizione</w:t>
      </w:r>
    </w:p>
    <w:p w:rsidR="00DE5B0B" w:rsidRPr="002974FC" w:rsidRDefault="00DE5B0B" w:rsidP="00560C90">
      <w:pPr>
        <w:spacing w:after="0" w:line="240" w:lineRule="auto"/>
        <w:rPr>
          <w:rFonts w:cstheme="minorHAnsi"/>
          <w:sz w:val="24"/>
          <w:szCs w:val="24"/>
        </w:rPr>
      </w:pPr>
    </w:p>
    <w:p w:rsidR="00DE5B0B" w:rsidRPr="00F9718A" w:rsidRDefault="00DE5B0B" w:rsidP="00560C90">
      <w:pPr>
        <w:pStyle w:val="NormalWeb"/>
        <w:spacing w:before="0" w:beforeAutospacing="0" w:after="0" w:afterAutospacing="0"/>
        <w:jc w:val="both"/>
        <w:rPr>
          <w:rFonts w:asciiTheme="minorHAnsi" w:hAnsiTheme="minorHAnsi" w:cstheme="minorHAnsi"/>
          <w:bCs/>
          <w:sz w:val="22"/>
          <w:szCs w:val="22"/>
        </w:rPr>
      </w:pPr>
      <w:r w:rsidRPr="00F9718A">
        <w:rPr>
          <w:rFonts w:asciiTheme="minorHAnsi" w:hAnsiTheme="minorHAnsi" w:cstheme="minorHAnsi"/>
          <w:b/>
          <w:sz w:val="22"/>
          <w:szCs w:val="22"/>
        </w:rPr>
        <w:t>L'Associazione Alumni Accenture</w:t>
      </w:r>
      <w:r w:rsidRPr="00F9718A">
        <w:rPr>
          <w:rFonts w:asciiTheme="minorHAnsi" w:hAnsiTheme="minorHAnsi" w:cstheme="minorHAnsi"/>
          <w:sz w:val="22"/>
          <w:szCs w:val="22"/>
        </w:rPr>
        <w:t xml:space="preserve"> nasce su iniziativa dei </w:t>
      </w:r>
      <w:r w:rsidR="00641B45" w:rsidRPr="00F9718A">
        <w:rPr>
          <w:rFonts w:asciiTheme="minorHAnsi" w:hAnsiTheme="minorHAnsi" w:cstheme="minorHAnsi"/>
          <w:sz w:val="22"/>
          <w:szCs w:val="22"/>
        </w:rPr>
        <w:t>Managing Director</w:t>
      </w:r>
      <w:r w:rsidRPr="00F9718A">
        <w:rPr>
          <w:rFonts w:asciiTheme="minorHAnsi" w:hAnsiTheme="minorHAnsi" w:cstheme="minorHAnsi"/>
          <w:sz w:val="22"/>
          <w:szCs w:val="22"/>
        </w:rPr>
        <w:t xml:space="preserve"> ed ex </w:t>
      </w:r>
      <w:r w:rsidR="00641B45" w:rsidRPr="00F9718A">
        <w:rPr>
          <w:rFonts w:asciiTheme="minorHAnsi" w:hAnsiTheme="minorHAnsi" w:cstheme="minorHAnsi"/>
          <w:sz w:val="22"/>
          <w:szCs w:val="22"/>
        </w:rPr>
        <w:t xml:space="preserve">Managing Director </w:t>
      </w:r>
      <w:r w:rsidRPr="00F9718A">
        <w:rPr>
          <w:rFonts w:asciiTheme="minorHAnsi" w:hAnsiTheme="minorHAnsi" w:cstheme="minorHAnsi"/>
          <w:sz w:val="22"/>
          <w:szCs w:val="22"/>
        </w:rPr>
        <w:t xml:space="preserve">italiani </w:t>
      </w:r>
      <w:r w:rsidR="005721B6" w:rsidRPr="00F9718A">
        <w:rPr>
          <w:rFonts w:asciiTheme="minorHAnsi" w:hAnsiTheme="minorHAnsi" w:cstheme="minorHAnsi"/>
          <w:sz w:val="22"/>
          <w:szCs w:val="22"/>
        </w:rPr>
        <w:t xml:space="preserve">di </w:t>
      </w:r>
      <w:r w:rsidR="005721B6" w:rsidRPr="00F9718A">
        <w:rPr>
          <w:rFonts w:asciiTheme="minorHAnsi" w:hAnsiTheme="minorHAnsi" w:cstheme="minorHAnsi"/>
          <w:b/>
          <w:sz w:val="22"/>
          <w:szCs w:val="22"/>
        </w:rPr>
        <w:t>Accenture</w:t>
      </w:r>
      <w:r w:rsidR="005721B6" w:rsidRPr="00F9718A">
        <w:rPr>
          <w:rFonts w:asciiTheme="minorHAnsi" w:hAnsiTheme="minorHAnsi" w:cstheme="minorHAnsi"/>
          <w:sz w:val="22"/>
          <w:szCs w:val="22"/>
        </w:rPr>
        <w:t>, azienda nota nel mondo e in Italia per essere la più importante realtà professionale di Consulenza Direzionale, System Integration&amp;Technology e Servizi alle Imprese, con l’obiettivo di</w:t>
      </w:r>
      <w:r w:rsidRPr="00F9718A">
        <w:rPr>
          <w:rFonts w:asciiTheme="minorHAnsi" w:hAnsiTheme="minorHAnsi" w:cstheme="minorHAnsi"/>
          <w:sz w:val="22"/>
          <w:szCs w:val="22"/>
        </w:rPr>
        <w:t xml:space="preserve"> </w:t>
      </w:r>
      <w:r w:rsidRPr="00F9718A">
        <w:rPr>
          <w:rFonts w:asciiTheme="minorHAnsi" w:hAnsiTheme="minorHAnsi" w:cstheme="minorHAnsi"/>
          <w:bCs/>
          <w:sz w:val="22"/>
          <w:szCs w:val="22"/>
        </w:rPr>
        <w:t>rinsaldare</w:t>
      </w:r>
      <w:r w:rsidRPr="00F9718A">
        <w:rPr>
          <w:rFonts w:asciiTheme="minorHAnsi" w:hAnsiTheme="minorHAnsi" w:cstheme="minorHAnsi"/>
          <w:sz w:val="22"/>
          <w:szCs w:val="22"/>
        </w:rPr>
        <w:t xml:space="preserve"> e </w:t>
      </w:r>
      <w:r w:rsidRPr="00F9718A">
        <w:rPr>
          <w:rFonts w:asciiTheme="minorHAnsi" w:hAnsiTheme="minorHAnsi" w:cstheme="minorHAnsi"/>
          <w:bCs/>
          <w:sz w:val="22"/>
          <w:szCs w:val="22"/>
        </w:rPr>
        <w:t>dare continuità</w:t>
      </w:r>
      <w:r w:rsidRPr="00F9718A">
        <w:rPr>
          <w:rFonts w:asciiTheme="minorHAnsi" w:hAnsiTheme="minorHAnsi" w:cstheme="minorHAnsi"/>
          <w:sz w:val="22"/>
          <w:szCs w:val="22"/>
        </w:rPr>
        <w:t xml:space="preserve"> alle </w:t>
      </w:r>
      <w:r w:rsidRPr="00F9718A">
        <w:rPr>
          <w:rFonts w:asciiTheme="minorHAnsi" w:hAnsiTheme="minorHAnsi" w:cstheme="minorHAnsi"/>
          <w:bCs/>
          <w:sz w:val="22"/>
          <w:szCs w:val="22"/>
        </w:rPr>
        <w:t>relazioni con gli ex colleghi</w:t>
      </w:r>
      <w:r w:rsidR="005721B6" w:rsidRPr="00F9718A">
        <w:rPr>
          <w:rFonts w:asciiTheme="minorHAnsi" w:hAnsiTheme="minorHAnsi" w:cstheme="minorHAnsi"/>
          <w:bCs/>
          <w:sz w:val="22"/>
          <w:szCs w:val="22"/>
        </w:rPr>
        <w:t xml:space="preserve"> e per creare opportunità</w:t>
      </w:r>
      <w:r w:rsidR="00641B45" w:rsidRPr="00F9718A">
        <w:rPr>
          <w:rFonts w:asciiTheme="minorHAnsi" w:hAnsiTheme="minorHAnsi" w:cstheme="minorHAnsi"/>
          <w:bCs/>
          <w:sz w:val="22"/>
          <w:szCs w:val="22"/>
        </w:rPr>
        <w:t xml:space="preserve"> professionali</w:t>
      </w:r>
      <w:r w:rsidR="005721B6" w:rsidRPr="00F9718A">
        <w:rPr>
          <w:rFonts w:asciiTheme="minorHAnsi" w:hAnsiTheme="minorHAnsi" w:cstheme="minorHAnsi"/>
          <w:bCs/>
          <w:sz w:val="22"/>
          <w:szCs w:val="22"/>
        </w:rPr>
        <w:t xml:space="preserve"> di successo per gli Alumni e per Accenture. </w:t>
      </w:r>
    </w:p>
    <w:p w:rsidR="005721B6" w:rsidRPr="00F9718A" w:rsidRDefault="001C69EC" w:rsidP="00560C90">
      <w:pPr>
        <w:pStyle w:val="NormalWeb"/>
        <w:spacing w:before="0" w:beforeAutospacing="0" w:after="0" w:afterAutospacing="0"/>
        <w:jc w:val="both"/>
        <w:rPr>
          <w:rFonts w:asciiTheme="minorHAnsi" w:hAnsiTheme="minorHAnsi" w:cstheme="minorHAnsi"/>
          <w:bCs/>
          <w:sz w:val="22"/>
          <w:szCs w:val="22"/>
        </w:rPr>
      </w:pPr>
      <w:r w:rsidRPr="00F9718A">
        <w:rPr>
          <w:rFonts w:asciiTheme="minorHAnsi" w:hAnsiTheme="minorHAnsi" w:cstheme="minorHAnsi"/>
          <w:bCs/>
          <w:sz w:val="22"/>
          <w:szCs w:val="22"/>
        </w:rPr>
        <w:t>Le attività dell’Associazione si concretano soprattutto nella realizzazione di progetti che hanno come fattor comune quello di voler investire sul talento a beneficio del Sistema Paese.</w:t>
      </w:r>
    </w:p>
    <w:p w:rsidR="001C69EC" w:rsidRPr="00F9718A" w:rsidRDefault="001C69EC" w:rsidP="00560C90">
      <w:pPr>
        <w:pStyle w:val="NormalWeb"/>
        <w:spacing w:before="0" w:beforeAutospacing="0" w:after="0" w:afterAutospacing="0"/>
        <w:jc w:val="both"/>
        <w:rPr>
          <w:rFonts w:asciiTheme="minorHAnsi" w:hAnsiTheme="minorHAnsi" w:cstheme="minorHAnsi"/>
          <w:sz w:val="22"/>
          <w:szCs w:val="22"/>
        </w:rPr>
      </w:pPr>
      <w:r w:rsidRPr="00F9718A">
        <w:rPr>
          <w:rFonts w:asciiTheme="minorHAnsi" w:hAnsiTheme="minorHAnsi" w:cstheme="minorHAnsi"/>
          <w:bCs/>
          <w:sz w:val="22"/>
          <w:szCs w:val="22"/>
        </w:rPr>
        <w:t>E’ per tale motivo che</w:t>
      </w:r>
      <w:r w:rsidR="00811793" w:rsidRPr="00F9718A">
        <w:rPr>
          <w:rFonts w:asciiTheme="minorHAnsi" w:hAnsiTheme="minorHAnsi" w:cstheme="minorHAnsi"/>
          <w:bCs/>
          <w:sz w:val="22"/>
          <w:szCs w:val="22"/>
        </w:rPr>
        <w:t xml:space="preserve"> l’Associazione</w:t>
      </w:r>
      <w:r w:rsidR="00463DC5" w:rsidRPr="00F9718A">
        <w:rPr>
          <w:rFonts w:asciiTheme="minorHAnsi" w:hAnsiTheme="minorHAnsi" w:cstheme="minorHAnsi"/>
          <w:bCs/>
          <w:sz w:val="22"/>
          <w:szCs w:val="22"/>
        </w:rPr>
        <w:t>, dopo il successo registrato</w:t>
      </w:r>
      <w:r w:rsidRPr="00F9718A">
        <w:rPr>
          <w:rFonts w:asciiTheme="minorHAnsi" w:hAnsiTheme="minorHAnsi" w:cstheme="minorHAnsi"/>
          <w:bCs/>
          <w:sz w:val="22"/>
          <w:szCs w:val="22"/>
        </w:rPr>
        <w:t xml:space="preserve"> </w:t>
      </w:r>
      <w:r w:rsidR="00463DC5" w:rsidRPr="00F9718A">
        <w:rPr>
          <w:rFonts w:asciiTheme="minorHAnsi" w:hAnsiTheme="minorHAnsi" w:cstheme="minorHAnsi"/>
          <w:bCs/>
          <w:sz w:val="22"/>
          <w:szCs w:val="22"/>
        </w:rPr>
        <w:t xml:space="preserve">nella I edizione, </w:t>
      </w:r>
      <w:r w:rsidRPr="00F9718A">
        <w:rPr>
          <w:rFonts w:asciiTheme="minorHAnsi" w:hAnsiTheme="minorHAnsi" w:cstheme="minorHAnsi"/>
          <w:bCs/>
          <w:sz w:val="22"/>
          <w:szCs w:val="22"/>
        </w:rPr>
        <w:t xml:space="preserve">ha deciso di lanciare la </w:t>
      </w:r>
      <w:r w:rsidR="00463DC5" w:rsidRPr="00F9718A">
        <w:rPr>
          <w:rFonts w:asciiTheme="minorHAnsi" w:hAnsiTheme="minorHAnsi" w:cstheme="minorHAnsi"/>
          <w:b/>
          <w:bCs/>
          <w:sz w:val="22"/>
          <w:szCs w:val="22"/>
        </w:rPr>
        <w:t>seconda</w:t>
      </w:r>
      <w:r w:rsidRPr="00F9718A">
        <w:rPr>
          <w:rFonts w:asciiTheme="minorHAnsi" w:hAnsiTheme="minorHAnsi" w:cstheme="minorHAnsi"/>
          <w:b/>
          <w:bCs/>
          <w:sz w:val="22"/>
          <w:szCs w:val="22"/>
        </w:rPr>
        <w:t xml:space="preserve"> edizione</w:t>
      </w:r>
      <w:r w:rsidRPr="00F9718A">
        <w:rPr>
          <w:rFonts w:asciiTheme="minorHAnsi" w:hAnsiTheme="minorHAnsi" w:cstheme="minorHAnsi"/>
          <w:bCs/>
          <w:sz w:val="22"/>
          <w:szCs w:val="22"/>
        </w:rPr>
        <w:t xml:space="preserve"> del </w:t>
      </w:r>
      <w:r w:rsidRPr="00F9718A">
        <w:rPr>
          <w:rFonts w:asciiTheme="minorHAnsi" w:hAnsiTheme="minorHAnsi" w:cstheme="minorHAnsi"/>
          <w:b/>
          <w:bCs/>
          <w:i/>
          <w:sz w:val="22"/>
          <w:szCs w:val="22"/>
        </w:rPr>
        <w:t xml:space="preserve">Premio di Laurea “AAA Talenti </w:t>
      </w:r>
      <w:r w:rsidR="005A405A" w:rsidRPr="00F9718A">
        <w:rPr>
          <w:rFonts w:asciiTheme="minorHAnsi" w:hAnsiTheme="minorHAnsi" w:cstheme="minorHAnsi"/>
          <w:b/>
          <w:bCs/>
          <w:i/>
          <w:sz w:val="22"/>
          <w:szCs w:val="22"/>
        </w:rPr>
        <w:t>C</w:t>
      </w:r>
      <w:r w:rsidRPr="00F9718A">
        <w:rPr>
          <w:rFonts w:asciiTheme="minorHAnsi" w:hAnsiTheme="minorHAnsi" w:cstheme="minorHAnsi"/>
          <w:b/>
          <w:bCs/>
          <w:i/>
          <w:sz w:val="22"/>
          <w:szCs w:val="22"/>
        </w:rPr>
        <w:t>ercasi”</w:t>
      </w:r>
      <w:r w:rsidRPr="00F9718A">
        <w:rPr>
          <w:rFonts w:asciiTheme="minorHAnsi" w:hAnsiTheme="minorHAnsi" w:cstheme="minorHAnsi"/>
          <w:bCs/>
          <w:sz w:val="22"/>
          <w:szCs w:val="22"/>
        </w:rPr>
        <w:t xml:space="preserve"> che ha lo scopo di aiutare i laureati delle Università italiane a far emergere le proprie potenzialità e ad indirizzarli verso un futuro professionale di successo.</w:t>
      </w:r>
      <w:r w:rsidR="004A521F" w:rsidRPr="00F9718A">
        <w:rPr>
          <w:rFonts w:asciiTheme="minorHAnsi" w:hAnsiTheme="minorHAnsi" w:cstheme="minorHAnsi"/>
          <w:bCs/>
          <w:sz w:val="22"/>
          <w:szCs w:val="22"/>
        </w:rPr>
        <w:t xml:space="preserve"> Per tale motivo, il Premio è stato ideato anche tenendo conto delle esigenze professionali del mercato del lavoro attuale, attraverso l’analisi di primarie ricerche aventi come oggetto </w:t>
      </w:r>
      <w:r w:rsidR="00F84B9A" w:rsidRPr="00F9718A">
        <w:rPr>
          <w:rFonts w:asciiTheme="minorHAnsi" w:hAnsiTheme="minorHAnsi" w:cstheme="minorHAnsi"/>
          <w:bCs/>
          <w:sz w:val="22"/>
          <w:szCs w:val="22"/>
        </w:rPr>
        <w:t>le professioni</w:t>
      </w:r>
      <w:r w:rsidR="004A521F" w:rsidRPr="00F9718A">
        <w:rPr>
          <w:rFonts w:asciiTheme="minorHAnsi" w:hAnsiTheme="minorHAnsi" w:cstheme="minorHAnsi"/>
          <w:bCs/>
          <w:sz w:val="22"/>
          <w:szCs w:val="22"/>
        </w:rPr>
        <w:t xml:space="preserve"> </w:t>
      </w:r>
      <w:r w:rsidR="00641B45" w:rsidRPr="00F9718A">
        <w:rPr>
          <w:rFonts w:asciiTheme="minorHAnsi" w:hAnsiTheme="minorHAnsi" w:cstheme="minorHAnsi"/>
          <w:bCs/>
          <w:sz w:val="22"/>
          <w:szCs w:val="22"/>
        </w:rPr>
        <w:t xml:space="preserve">considerate di maggiore interesse </w:t>
      </w:r>
      <w:r w:rsidR="004A521F" w:rsidRPr="00F9718A">
        <w:rPr>
          <w:rFonts w:asciiTheme="minorHAnsi" w:hAnsiTheme="minorHAnsi" w:cstheme="minorHAnsi"/>
          <w:bCs/>
          <w:sz w:val="22"/>
          <w:szCs w:val="22"/>
        </w:rPr>
        <w:t>da qui ai prossimi 10 anni.</w:t>
      </w:r>
    </w:p>
    <w:p w:rsidR="00560C90" w:rsidRPr="00F9718A" w:rsidRDefault="00560C90" w:rsidP="00560C90">
      <w:pPr>
        <w:spacing w:after="0" w:line="240" w:lineRule="auto"/>
        <w:jc w:val="center"/>
        <w:rPr>
          <w:rFonts w:cstheme="minorHAnsi"/>
          <w:b/>
        </w:rPr>
      </w:pPr>
    </w:p>
    <w:p w:rsidR="00DE5B0B" w:rsidRPr="00F9718A" w:rsidRDefault="001D37DF" w:rsidP="00560C90">
      <w:pPr>
        <w:spacing w:after="0" w:line="240" w:lineRule="auto"/>
        <w:jc w:val="center"/>
        <w:rPr>
          <w:rFonts w:cstheme="minorHAnsi"/>
          <w:b/>
        </w:rPr>
      </w:pPr>
      <w:r w:rsidRPr="00F9718A">
        <w:rPr>
          <w:rFonts w:cstheme="minorHAnsi"/>
          <w:b/>
        </w:rPr>
        <w:t>ART. 1</w:t>
      </w:r>
    </w:p>
    <w:p w:rsidR="001D37DF" w:rsidRPr="00F9718A" w:rsidRDefault="001D37DF" w:rsidP="00560C90">
      <w:pPr>
        <w:spacing w:after="0" w:line="240" w:lineRule="auto"/>
        <w:jc w:val="both"/>
        <w:rPr>
          <w:rFonts w:cstheme="minorHAnsi"/>
        </w:rPr>
      </w:pPr>
      <w:r w:rsidRPr="00F9718A">
        <w:rPr>
          <w:rFonts w:cstheme="minorHAnsi"/>
        </w:rPr>
        <w:t xml:space="preserve">L’Associazione Alumni Accenture (di seguito AAA), su decisione del proprio Consiglio di </w:t>
      </w:r>
      <w:r w:rsidR="00641B45" w:rsidRPr="00F9718A">
        <w:rPr>
          <w:rFonts w:cstheme="minorHAnsi"/>
        </w:rPr>
        <w:t>I</w:t>
      </w:r>
      <w:r w:rsidRPr="00F9718A">
        <w:rPr>
          <w:rFonts w:cstheme="minorHAnsi"/>
          <w:strike/>
        </w:rPr>
        <w:t>i</w:t>
      </w:r>
      <w:r w:rsidRPr="00F9718A">
        <w:rPr>
          <w:rFonts w:cstheme="minorHAnsi"/>
        </w:rPr>
        <w:t>ndirizzo, per l’</w:t>
      </w:r>
      <w:r w:rsidR="00030850" w:rsidRPr="00F9718A">
        <w:rPr>
          <w:rFonts w:cstheme="minorHAnsi"/>
        </w:rPr>
        <w:t>anno 201</w:t>
      </w:r>
      <w:r w:rsidR="00463DC5" w:rsidRPr="00F9718A">
        <w:rPr>
          <w:rFonts w:cstheme="minorHAnsi"/>
        </w:rPr>
        <w:t>4</w:t>
      </w:r>
      <w:r w:rsidR="005D6900" w:rsidRPr="00F9718A">
        <w:rPr>
          <w:rFonts w:cstheme="minorHAnsi"/>
        </w:rPr>
        <w:t xml:space="preserve">, promuove l’assegnazione di n. </w:t>
      </w:r>
      <w:r w:rsidR="00CB4AA9" w:rsidRPr="00F9718A">
        <w:rPr>
          <w:rFonts w:cstheme="minorHAnsi"/>
        </w:rPr>
        <w:t>3</w:t>
      </w:r>
      <w:r w:rsidR="005D6900" w:rsidRPr="00F9718A">
        <w:rPr>
          <w:rFonts w:cstheme="minorHAnsi"/>
        </w:rPr>
        <w:t xml:space="preserve"> </w:t>
      </w:r>
      <w:r w:rsidR="004269D2" w:rsidRPr="00F9718A">
        <w:rPr>
          <w:rFonts w:cstheme="minorHAnsi"/>
        </w:rPr>
        <w:t>Premi di laurea</w:t>
      </w:r>
      <w:r w:rsidR="00B86517" w:rsidRPr="00F9718A">
        <w:rPr>
          <w:rFonts w:cstheme="minorHAnsi"/>
        </w:rPr>
        <w:t>.</w:t>
      </w:r>
    </w:p>
    <w:p w:rsidR="00D46D17" w:rsidRPr="00F9718A" w:rsidRDefault="00D46D17" w:rsidP="00560C90">
      <w:pPr>
        <w:spacing w:after="0" w:line="240" w:lineRule="auto"/>
        <w:jc w:val="center"/>
        <w:rPr>
          <w:rFonts w:cstheme="minorHAnsi"/>
          <w:b/>
        </w:rPr>
      </w:pPr>
    </w:p>
    <w:p w:rsidR="00030850" w:rsidRPr="00F9718A" w:rsidRDefault="00030850" w:rsidP="00560C90">
      <w:pPr>
        <w:spacing w:after="0" w:line="240" w:lineRule="auto"/>
        <w:jc w:val="center"/>
        <w:rPr>
          <w:rFonts w:cstheme="minorHAnsi"/>
          <w:b/>
        </w:rPr>
      </w:pPr>
      <w:r w:rsidRPr="00F9718A">
        <w:rPr>
          <w:rFonts w:cstheme="minorHAnsi"/>
          <w:b/>
        </w:rPr>
        <w:t>ART. 2</w:t>
      </w:r>
    </w:p>
    <w:p w:rsidR="00030850" w:rsidRPr="00F9718A" w:rsidRDefault="00501C03" w:rsidP="00560C90">
      <w:pPr>
        <w:spacing w:after="0" w:line="240" w:lineRule="auto"/>
        <w:jc w:val="both"/>
        <w:rPr>
          <w:rFonts w:cstheme="minorHAnsi"/>
        </w:rPr>
      </w:pPr>
      <w:r w:rsidRPr="00F9718A">
        <w:rPr>
          <w:rFonts w:cstheme="minorHAnsi"/>
        </w:rPr>
        <w:t xml:space="preserve">I </w:t>
      </w:r>
      <w:r w:rsidR="00A729F0" w:rsidRPr="00F9718A">
        <w:rPr>
          <w:rFonts w:cstheme="minorHAnsi"/>
        </w:rPr>
        <w:t>P</w:t>
      </w:r>
      <w:r w:rsidRPr="00F9718A">
        <w:rPr>
          <w:rFonts w:cstheme="minorHAnsi"/>
        </w:rPr>
        <w:t>remi di laurea</w:t>
      </w:r>
      <w:r w:rsidR="00B86517" w:rsidRPr="00F9718A">
        <w:rPr>
          <w:rFonts w:cstheme="minorHAnsi"/>
        </w:rPr>
        <w:t xml:space="preserve"> saranno assegnat</w:t>
      </w:r>
      <w:r w:rsidRPr="00F9718A">
        <w:rPr>
          <w:rFonts w:cstheme="minorHAnsi"/>
        </w:rPr>
        <w:t>i</w:t>
      </w:r>
      <w:r w:rsidR="00030850" w:rsidRPr="00F9718A">
        <w:rPr>
          <w:rFonts w:cstheme="minorHAnsi"/>
        </w:rPr>
        <w:t xml:space="preserve"> </w:t>
      </w:r>
      <w:r w:rsidR="004269D2" w:rsidRPr="00F9718A">
        <w:rPr>
          <w:rFonts w:cstheme="minorHAnsi"/>
        </w:rPr>
        <w:t xml:space="preserve">ai laureati </w:t>
      </w:r>
      <w:r w:rsidR="00B86517" w:rsidRPr="00F9718A">
        <w:rPr>
          <w:rFonts w:cstheme="minorHAnsi"/>
        </w:rPr>
        <w:t xml:space="preserve">di </w:t>
      </w:r>
      <w:r w:rsidR="00B86517" w:rsidRPr="0096761C">
        <w:rPr>
          <w:rFonts w:cstheme="minorHAnsi"/>
          <w:b/>
        </w:rPr>
        <w:t>laurea magistrale</w:t>
      </w:r>
      <w:r w:rsidR="00C017C2" w:rsidRPr="00C017C2">
        <w:rPr>
          <w:rFonts w:cstheme="minorHAnsi"/>
        </w:rPr>
        <w:t xml:space="preserve"> in </w:t>
      </w:r>
      <w:r w:rsidR="00C017C2" w:rsidRPr="0096761C">
        <w:rPr>
          <w:rFonts w:cstheme="minorHAnsi"/>
          <w:b/>
        </w:rPr>
        <w:t>Economia</w:t>
      </w:r>
      <w:r w:rsidR="00C017C2" w:rsidRPr="00C017C2">
        <w:rPr>
          <w:rFonts w:cstheme="minorHAnsi"/>
        </w:rPr>
        <w:t xml:space="preserve">, </w:t>
      </w:r>
      <w:r w:rsidR="00C017C2" w:rsidRPr="0096761C">
        <w:rPr>
          <w:rFonts w:cstheme="minorHAnsi"/>
          <w:b/>
        </w:rPr>
        <w:t>Ingegneria</w:t>
      </w:r>
      <w:r w:rsidR="00C017C2" w:rsidRPr="00C017C2">
        <w:rPr>
          <w:rFonts w:cstheme="minorHAnsi"/>
        </w:rPr>
        <w:t xml:space="preserve">, </w:t>
      </w:r>
      <w:r w:rsidR="00C017C2" w:rsidRPr="0096761C">
        <w:rPr>
          <w:rFonts w:cstheme="minorHAnsi"/>
          <w:b/>
        </w:rPr>
        <w:t>Informatica</w:t>
      </w:r>
      <w:r w:rsidR="00C017C2">
        <w:rPr>
          <w:rFonts w:cstheme="minorHAnsi"/>
        </w:rPr>
        <w:t xml:space="preserve"> e </w:t>
      </w:r>
      <w:r w:rsidR="00C017C2" w:rsidRPr="0096761C">
        <w:rPr>
          <w:rFonts w:cstheme="minorHAnsi"/>
          <w:b/>
        </w:rPr>
        <w:t>Matematica</w:t>
      </w:r>
      <w:r w:rsidR="00B86517" w:rsidRPr="00C017C2">
        <w:rPr>
          <w:rFonts w:cstheme="minorHAnsi"/>
        </w:rPr>
        <w:t xml:space="preserve"> con le caratteristiche indicate nei successivi articoli, </w:t>
      </w:r>
      <w:r w:rsidR="00026BA5" w:rsidRPr="00C017C2">
        <w:rPr>
          <w:rFonts w:cstheme="minorHAnsi"/>
        </w:rPr>
        <w:t>che abbiano sviluppato</w:t>
      </w:r>
      <w:r w:rsidR="00B86517" w:rsidRPr="00C017C2">
        <w:rPr>
          <w:rFonts w:cstheme="minorHAnsi"/>
        </w:rPr>
        <w:t xml:space="preserve"> una tesi di laurea</w:t>
      </w:r>
      <w:r w:rsidR="00B86517" w:rsidRPr="00F9718A">
        <w:rPr>
          <w:rFonts w:cstheme="minorHAnsi"/>
        </w:rPr>
        <w:t xml:space="preserve"> su</w:t>
      </w:r>
      <w:r w:rsidR="004A521F" w:rsidRPr="00F9718A">
        <w:rPr>
          <w:rFonts w:cstheme="minorHAnsi"/>
        </w:rPr>
        <w:t xml:space="preserve"> uno dei seguenti temi, scelti sulla base di quelle che, secondo alcune ricerche, risultano essere le professioni del prossimo futuro:</w:t>
      </w:r>
    </w:p>
    <w:p w:rsidR="004A521F" w:rsidRPr="00F9718A" w:rsidRDefault="004A521F" w:rsidP="004A521F">
      <w:pPr>
        <w:pStyle w:val="ListParagraph"/>
        <w:spacing w:after="0" w:line="240" w:lineRule="auto"/>
        <w:rPr>
          <w:rFonts w:eastAsia="Times New Roman" w:cstheme="minorHAnsi"/>
          <w:bCs/>
          <w:i/>
          <w:lang w:eastAsia="it-IT"/>
        </w:rPr>
      </w:pPr>
    </w:p>
    <w:p w:rsidR="0029233C" w:rsidRPr="00F9718A" w:rsidRDefault="004A521F" w:rsidP="0096761C">
      <w:pPr>
        <w:pStyle w:val="ListParagraph"/>
        <w:numPr>
          <w:ilvl w:val="0"/>
          <w:numId w:val="5"/>
        </w:numPr>
        <w:spacing w:after="0" w:line="240" w:lineRule="auto"/>
        <w:jc w:val="both"/>
        <w:rPr>
          <w:rFonts w:eastAsia="Times New Roman" w:cstheme="minorHAnsi"/>
          <w:bCs/>
          <w:i/>
          <w:lang w:eastAsia="it-IT"/>
        </w:rPr>
      </w:pPr>
      <w:r w:rsidRPr="00F9718A">
        <w:rPr>
          <w:rFonts w:eastAsia="Times New Roman" w:cstheme="minorHAnsi"/>
          <w:b/>
          <w:bCs/>
          <w:i/>
          <w:lang w:eastAsia="it-IT"/>
        </w:rPr>
        <w:t>Digital Transformation</w:t>
      </w:r>
      <w:r w:rsidRPr="00F9718A">
        <w:rPr>
          <w:rFonts w:eastAsia="Times New Roman" w:cstheme="minorHAnsi"/>
          <w:bCs/>
          <w:i/>
          <w:lang w:eastAsia="it-IT"/>
        </w:rPr>
        <w:t xml:space="preserve"> e, più in generale, tesi che analizzano soluzioni specifiche che aiutano le aziende pubbliche o private a rispondere</w:t>
      </w:r>
      <w:r w:rsidR="00993665" w:rsidRPr="00F9718A">
        <w:rPr>
          <w:rFonts w:eastAsia="Times New Roman" w:cstheme="minorHAnsi"/>
          <w:bCs/>
          <w:i/>
          <w:lang w:eastAsia="it-IT"/>
        </w:rPr>
        <w:t>,</w:t>
      </w:r>
      <w:r w:rsidRPr="00F9718A">
        <w:rPr>
          <w:rFonts w:eastAsia="Times New Roman" w:cstheme="minorHAnsi"/>
          <w:bCs/>
          <w:i/>
          <w:lang w:eastAsia="it-IT"/>
        </w:rPr>
        <w:t xml:space="preserve"> attraverso la digitalizzazione</w:t>
      </w:r>
      <w:r w:rsidR="00993665" w:rsidRPr="00F9718A">
        <w:rPr>
          <w:rFonts w:eastAsia="Times New Roman" w:cstheme="minorHAnsi"/>
          <w:bCs/>
          <w:i/>
          <w:lang w:eastAsia="it-IT"/>
        </w:rPr>
        <w:t>,</w:t>
      </w:r>
      <w:r w:rsidRPr="00F9718A">
        <w:rPr>
          <w:rFonts w:eastAsia="Times New Roman" w:cstheme="minorHAnsi"/>
          <w:bCs/>
          <w:i/>
          <w:lang w:eastAsia="it-IT"/>
        </w:rPr>
        <w:t xml:space="preserve"> ai cambiame</w:t>
      </w:r>
      <w:r w:rsidR="00F84B9A" w:rsidRPr="00F9718A">
        <w:rPr>
          <w:rFonts w:eastAsia="Times New Roman" w:cstheme="minorHAnsi"/>
          <w:bCs/>
          <w:i/>
          <w:lang w:eastAsia="it-IT"/>
        </w:rPr>
        <w:t>nti del contesto in cui operano</w:t>
      </w:r>
      <w:r w:rsidR="002974FC" w:rsidRPr="00F9718A">
        <w:rPr>
          <w:rFonts w:ascii="Calibri" w:eastAsia="Times New Roman" w:hAnsi="Calibri" w:cs="Times New Roman"/>
          <w:color w:val="000000"/>
          <w:lang w:eastAsia="it-IT"/>
        </w:rPr>
        <w:t xml:space="preserve">. </w:t>
      </w:r>
      <w:r w:rsidR="002974FC" w:rsidRPr="00F9718A">
        <w:rPr>
          <w:rFonts w:eastAsia="Times New Roman" w:cstheme="minorHAnsi"/>
          <w:bCs/>
          <w:i/>
          <w:lang w:eastAsia="it-IT"/>
        </w:rPr>
        <w:t>In questo ambito ci sono ad esempio casi di aziende che – attraverso l’utilizzo di soluzioni digitali – hanno realizzato un salto di qualità nei processi e nell’organizzazione del lavoro o nello sviluppo e utilizzo di nuovi prodotti o materiali.</w:t>
      </w:r>
    </w:p>
    <w:p w:rsidR="0029233C" w:rsidRPr="00F9718A" w:rsidRDefault="0029233C" w:rsidP="0096761C">
      <w:pPr>
        <w:pStyle w:val="ListParagraph"/>
        <w:numPr>
          <w:ilvl w:val="0"/>
          <w:numId w:val="5"/>
        </w:numPr>
        <w:spacing w:after="0" w:line="240" w:lineRule="auto"/>
        <w:jc w:val="both"/>
        <w:rPr>
          <w:rFonts w:eastAsia="Times New Roman" w:cstheme="minorHAnsi"/>
          <w:bCs/>
          <w:i/>
          <w:lang w:eastAsia="it-IT"/>
        </w:rPr>
      </w:pPr>
      <w:r w:rsidRPr="00F9718A">
        <w:rPr>
          <w:rFonts w:eastAsia="Times New Roman" w:cstheme="minorHAnsi"/>
          <w:b/>
          <w:bCs/>
          <w:i/>
          <w:lang w:eastAsia="it-IT"/>
        </w:rPr>
        <w:t>Sustainability</w:t>
      </w:r>
      <w:r w:rsidR="00F84B9A" w:rsidRPr="00F9718A">
        <w:rPr>
          <w:rFonts w:eastAsia="Times New Roman" w:cstheme="minorHAnsi"/>
          <w:bCs/>
          <w:i/>
          <w:lang w:eastAsia="it-IT"/>
        </w:rPr>
        <w:t xml:space="preserve"> (ambientale, economica e sociale)</w:t>
      </w:r>
      <w:r w:rsidR="002974FC" w:rsidRPr="00F9718A">
        <w:rPr>
          <w:rFonts w:ascii="Calibri" w:hAnsi="Calibri"/>
        </w:rPr>
        <w:t xml:space="preserve"> </w:t>
      </w:r>
      <w:r w:rsidR="002974FC" w:rsidRPr="00F9718A">
        <w:rPr>
          <w:rFonts w:eastAsia="Times New Roman" w:cstheme="minorHAnsi"/>
          <w:bCs/>
          <w:i/>
          <w:lang w:eastAsia="it-IT"/>
        </w:rPr>
        <w:t xml:space="preserve">e </w:t>
      </w:r>
      <w:r w:rsidR="002974FC" w:rsidRPr="00F9718A">
        <w:rPr>
          <w:rFonts w:eastAsia="Times New Roman" w:cstheme="minorHAnsi"/>
          <w:b/>
          <w:bCs/>
          <w:i/>
          <w:lang w:eastAsia="it-IT"/>
        </w:rPr>
        <w:t>Green Technologies</w:t>
      </w:r>
      <w:r w:rsidR="002974FC" w:rsidRPr="00F9718A">
        <w:rPr>
          <w:rFonts w:eastAsia="Times New Roman" w:cstheme="minorHAnsi"/>
          <w:bCs/>
          <w:i/>
          <w:lang w:eastAsia="it-IT"/>
        </w:rPr>
        <w:t>: Rientrano, a titolo esemplificativo, in questo ambito tesi che analizzano iniziative che promuovano stili di vita ecosostenibili, miglioramento della qualità della vita nei centri urbani, stili di consumo sostenibili, mobilità sostenibile, marketing sostenibile, strumenti per la gestione sostenibile della supply chain, utilizzo di energie rinnovabili e tutela dell’ambiente, progetti orientati a risparmio di acqua, energia e territorio, raccolta, smaltimento e riciclo dei rifiuti,..</w:t>
      </w:r>
    </w:p>
    <w:p w:rsidR="002974FC" w:rsidRPr="00F9718A" w:rsidRDefault="0096761C" w:rsidP="0096761C">
      <w:pPr>
        <w:pStyle w:val="ListParagraph"/>
        <w:numPr>
          <w:ilvl w:val="0"/>
          <w:numId w:val="5"/>
        </w:numPr>
        <w:jc w:val="both"/>
        <w:rPr>
          <w:rFonts w:eastAsia="Times New Roman" w:cstheme="minorHAnsi"/>
          <w:bCs/>
          <w:i/>
          <w:lang w:eastAsia="it-IT"/>
        </w:rPr>
      </w:pPr>
      <w:r>
        <w:rPr>
          <w:rFonts w:eastAsia="Times New Roman" w:cstheme="minorHAnsi"/>
          <w:b/>
          <w:bCs/>
          <w:i/>
          <w:lang w:eastAsia="it-IT"/>
        </w:rPr>
        <w:t>Expo 2015:</w:t>
      </w:r>
      <w:r w:rsidR="002974FC" w:rsidRPr="00F9718A">
        <w:rPr>
          <w:rFonts w:eastAsia="Times New Roman" w:cstheme="minorHAnsi"/>
          <w:bCs/>
          <w:i/>
          <w:lang w:eastAsia="it-IT"/>
        </w:rPr>
        <w:t xml:space="preserve"> Tesi riferite a progetti innovativi e sostenibili sia legati all’evento di Milano sia al tema dell’alimentazione (A titolo di esempio: agribusiness, food safety, filiera sostenibile, …).</w:t>
      </w:r>
    </w:p>
    <w:p w:rsidR="000D19C7" w:rsidRDefault="000D19C7" w:rsidP="00560C90">
      <w:pPr>
        <w:spacing w:after="0" w:line="240" w:lineRule="auto"/>
        <w:jc w:val="center"/>
        <w:rPr>
          <w:rFonts w:cstheme="minorHAnsi"/>
          <w:b/>
        </w:rPr>
      </w:pPr>
    </w:p>
    <w:p w:rsidR="00D53FE1" w:rsidRPr="00F9718A" w:rsidRDefault="00D53FE1" w:rsidP="00560C90">
      <w:pPr>
        <w:spacing w:after="0" w:line="240" w:lineRule="auto"/>
        <w:jc w:val="center"/>
        <w:rPr>
          <w:rFonts w:cstheme="minorHAnsi"/>
          <w:b/>
        </w:rPr>
      </w:pPr>
      <w:r w:rsidRPr="00F9718A">
        <w:rPr>
          <w:rFonts w:cstheme="minorHAnsi"/>
          <w:b/>
        </w:rPr>
        <w:t>ART. 3</w:t>
      </w:r>
    </w:p>
    <w:p w:rsidR="005D6900" w:rsidRPr="00F9718A" w:rsidRDefault="00D53FE1" w:rsidP="00763237">
      <w:pPr>
        <w:spacing w:after="0" w:line="240" w:lineRule="auto"/>
        <w:jc w:val="both"/>
        <w:rPr>
          <w:rFonts w:cstheme="minorHAnsi"/>
        </w:rPr>
      </w:pPr>
      <w:r w:rsidRPr="00C017C2">
        <w:rPr>
          <w:rFonts w:cstheme="minorHAnsi"/>
        </w:rPr>
        <w:t xml:space="preserve">Possono concorrere al premio i cittadini italiani/europei </w:t>
      </w:r>
      <w:r w:rsidR="00CE490D" w:rsidRPr="00C017C2">
        <w:rPr>
          <w:rFonts w:cstheme="minorHAnsi"/>
        </w:rPr>
        <w:t xml:space="preserve">laureati </w:t>
      </w:r>
      <w:r w:rsidR="00FC5FA0" w:rsidRPr="00C017C2">
        <w:rPr>
          <w:rFonts w:cstheme="minorHAnsi"/>
        </w:rPr>
        <w:t xml:space="preserve">magistrali </w:t>
      </w:r>
      <w:r w:rsidR="00BD44B0" w:rsidRPr="00C017C2">
        <w:rPr>
          <w:rFonts w:cstheme="minorHAnsi"/>
        </w:rPr>
        <w:t xml:space="preserve">nelle discipline indicate nell’articolo precedente </w:t>
      </w:r>
      <w:r w:rsidR="00763237" w:rsidRPr="00C017C2">
        <w:rPr>
          <w:rFonts w:cstheme="minorHAnsi"/>
        </w:rPr>
        <w:t>presso una Università italiana pubblica o privata</w:t>
      </w:r>
      <w:r w:rsidR="004269D2" w:rsidRPr="00C017C2">
        <w:rPr>
          <w:rFonts w:cstheme="minorHAnsi"/>
        </w:rPr>
        <w:t xml:space="preserve"> che abbiano conseguito il titolo</w:t>
      </w:r>
      <w:r w:rsidR="004269D2" w:rsidRPr="00F9718A">
        <w:rPr>
          <w:rFonts w:cstheme="minorHAnsi"/>
        </w:rPr>
        <w:t xml:space="preserve"> nel period</w:t>
      </w:r>
      <w:r w:rsidR="00E61E08" w:rsidRPr="00F9718A">
        <w:rPr>
          <w:rFonts w:cstheme="minorHAnsi"/>
        </w:rPr>
        <w:t xml:space="preserve">o compreso tra </w:t>
      </w:r>
      <w:r w:rsidR="00E61E08" w:rsidRPr="005C34E8">
        <w:rPr>
          <w:rFonts w:cstheme="minorHAnsi"/>
        </w:rPr>
        <w:t>il 1 gennaio 2013</w:t>
      </w:r>
      <w:r w:rsidR="004269D2" w:rsidRPr="005C34E8">
        <w:rPr>
          <w:rFonts w:cstheme="minorHAnsi"/>
        </w:rPr>
        <w:t xml:space="preserve"> ed il </w:t>
      </w:r>
      <w:r w:rsidR="0029233C" w:rsidRPr="005C34E8">
        <w:rPr>
          <w:rFonts w:cstheme="minorHAnsi"/>
        </w:rPr>
        <w:t xml:space="preserve">30 </w:t>
      </w:r>
      <w:r w:rsidR="00543FE9" w:rsidRPr="005C34E8">
        <w:rPr>
          <w:rFonts w:cstheme="minorHAnsi"/>
        </w:rPr>
        <w:t>maggio</w:t>
      </w:r>
      <w:r w:rsidR="00E61E08" w:rsidRPr="005C34E8">
        <w:rPr>
          <w:rFonts w:cstheme="minorHAnsi"/>
        </w:rPr>
        <w:t xml:space="preserve"> 2014</w:t>
      </w:r>
      <w:r w:rsidR="00662BD3" w:rsidRPr="005C34E8">
        <w:rPr>
          <w:rFonts w:cstheme="minorHAnsi"/>
        </w:rPr>
        <w:t>.</w:t>
      </w:r>
    </w:p>
    <w:p w:rsidR="000D19C7" w:rsidRDefault="000D19C7">
      <w:pPr>
        <w:rPr>
          <w:rFonts w:cstheme="minorHAnsi"/>
        </w:rPr>
      </w:pPr>
      <w:r>
        <w:rPr>
          <w:rFonts w:cstheme="minorHAnsi"/>
        </w:rPr>
        <w:br w:type="page"/>
      </w:r>
    </w:p>
    <w:p w:rsidR="00EE0314" w:rsidRPr="00F9718A" w:rsidRDefault="00EE0314" w:rsidP="00560C90">
      <w:pPr>
        <w:spacing w:after="0" w:line="240" w:lineRule="auto"/>
        <w:jc w:val="both"/>
        <w:rPr>
          <w:rFonts w:cstheme="minorHAnsi"/>
        </w:rPr>
      </w:pPr>
    </w:p>
    <w:p w:rsidR="00EE0314" w:rsidRPr="00F9718A" w:rsidRDefault="00EE0314" w:rsidP="00EE0314">
      <w:pPr>
        <w:spacing w:after="0" w:line="240" w:lineRule="auto"/>
        <w:jc w:val="center"/>
        <w:rPr>
          <w:rFonts w:cstheme="minorHAnsi"/>
          <w:b/>
        </w:rPr>
      </w:pPr>
      <w:r w:rsidRPr="00F9718A">
        <w:rPr>
          <w:rFonts w:cstheme="minorHAnsi"/>
          <w:b/>
        </w:rPr>
        <w:t>ART. 4</w:t>
      </w:r>
    </w:p>
    <w:p w:rsidR="00D53FE1" w:rsidRPr="00F9718A" w:rsidRDefault="00EE0314" w:rsidP="00560C90">
      <w:pPr>
        <w:spacing w:after="0" w:line="240" w:lineRule="auto"/>
        <w:jc w:val="both"/>
        <w:rPr>
          <w:rFonts w:cstheme="minorHAnsi"/>
        </w:rPr>
      </w:pPr>
      <w:r w:rsidRPr="00F9718A">
        <w:rPr>
          <w:rFonts w:cstheme="minorHAnsi"/>
        </w:rPr>
        <w:t xml:space="preserve">Possono candidarsi al premio </w:t>
      </w:r>
      <w:r w:rsidR="004269D2" w:rsidRPr="00F9718A">
        <w:rPr>
          <w:rFonts w:cstheme="minorHAnsi"/>
        </w:rPr>
        <w:t xml:space="preserve">i laureati </w:t>
      </w:r>
      <w:r w:rsidRPr="00F9718A">
        <w:rPr>
          <w:rFonts w:cstheme="minorHAnsi"/>
        </w:rPr>
        <w:t xml:space="preserve">con le caratteristiche indicate </w:t>
      </w:r>
      <w:r w:rsidR="00BD44B0" w:rsidRPr="00F9718A">
        <w:rPr>
          <w:rFonts w:cstheme="minorHAnsi"/>
        </w:rPr>
        <w:t>negli articoli precedenti</w:t>
      </w:r>
      <w:r w:rsidRPr="00F9718A">
        <w:rPr>
          <w:rFonts w:cstheme="minorHAnsi"/>
        </w:rPr>
        <w:t xml:space="preserve"> in possesso dei seguenti </w:t>
      </w:r>
      <w:r w:rsidR="00A369B5" w:rsidRPr="00F9718A">
        <w:rPr>
          <w:rFonts w:cstheme="minorHAnsi"/>
        </w:rPr>
        <w:t xml:space="preserve">ulteriori </w:t>
      </w:r>
      <w:r w:rsidRPr="00F9718A">
        <w:rPr>
          <w:rFonts w:cstheme="minorHAnsi"/>
        </w:rPr>
        <w:t>requisiti:</w:t>
      </w:r>
    </w:p>
    <w:p w:rsidR="00EE0314" w:rsidRPr="00F9718A" w:rsidRDefault="00EE0314" w:rsidP="00560C90">
      <w:pPr>
        <w:spacing w:after="0" w:line="240" w:lineRule="auto"/>
        <w:jc w:val="both"/>
        <w:rPr>
          <w:rFonts w:cstheme="minorHAnsi"/>
        </w:rPr>
      </w:pPr>
    </w:p>
    <w:p w:rsidR="00996772" w:rsidRPr="00C017C2" w:rsidRDefault="00763237" w:rsidP="00560C90">
      <w:pPr>
        <w:pStyle w:val="ListParagraph"/>
        <w:numPr>
          <w:ilvl w:val="0"/>
          <w:numId w:val="1"/>
        </w:numPr>
        <w:spacing w:after="0" w:line="240" w:lineRule="auto"/>
        <w:jc w:val="both"/>
        <w:rPr>
          <w:rFonts w:cstheme="minorHAnsi"/>
        </w:rPr>
      </w:pPr>
      <w:r w:rsidRPr="00C017C2">
        <w:rPr>
          <w:rFonts w:cstheme="minorHAnsi"/>
        </w:rPr>
        <w:t>Voto di laurea dal</w:t>
      </w:r>
      <w:r w:rsidR="00152B04" w:rsidRPr="00C017C2">
        <w:rPr>
          <w:rFonts w:cstheme="minorHAnsi"/>
        </w:rPr>
        <w:t xml:space="preserve"> 105</w:t>
      </w:r>
    </w:p>
    <w:p w:rsidR="00FF4A9E" w:rsidRPr="00C017C2" w:rsidRDefault="00B86517" w:rsidP="00FF4A9E">
      <w:pPr>
        <w:pStyle w:val="ListParagraph"/>
        <w:numPr>
          <w:ilvl w:val="0"/>
          <w:numId w:val="1"/>
        </w:numPr>
        <w:spacing w:after="0" w:line="240" w:lineRule="auto"/>
        <w:jc w:val="both"/>
        <w:rPr>
          <w:rFonts w:cstheme="minorHAnsi"/>
        </w:rPr>
      </w:pPr>
      <w:r w:rsidRPr="00C017C2">
        <w:rPr>
          <w:rFonts w:cstheme="minorHAnsi"/>
        </w:rPr>
        <w:t xml:space="preserve">Nati dal </w:t>
      </w:r>
      <w:r w:rsidR="00FF4A9E" w:rsidRPr="00C017C2">
        <w:rPr>
          <w:rFonts w:cstheme="minorHAnsi"/>
        </w:rPr>
        <w:t>1988</w:t>
      </w:r>
    </w:p>
    <w:p w:rsidR="00D46D17" w:rsidRPr="00F9718A" w:rsidRDefault="00D46D17" w:rsidP="00560C90">
      <w:pPr>
        <w:spacing w:after="0" w:line="240" w:lineRule="auto"/>
        <w:jc w:val="center"/>
        <w:rPr>
          <w:rFonts w:cstheme="minorHAnsi"/>
          <w:b/>
        </w:rPr>
      </w:pPr>
    </w:p>
    <w:p w:rsidR="00172D5C" w:rsidRPr="00F9718A" w:rsidRDefault="00EE0314" w:rsidP="00560C90">
      <w:pPr>
        <w:spacing w:after="0" w:line="240" w:lineRule="auto"/>
        <w:jc w:val="center"/>
        <w:rPr>
          <w:rFonts w:cstheme="minorHAnsi"/>
          <w:b/>
        </w:rPr>
      </w:pPr>
      <w:r w:rsidRPr="00F9718A">
        <w:rPr>
          <w:rFonts w:cstheme="minorHAnsi"/>
          <w:b/>
        </w:rPr>
        <w:t>ART. 5</w:t>
      </w:r>
    </w:p>
    <w:p w:rsidR="00D53FE1" w:rsidRPr="00F9718A" w:rsidRDefault="00996772" w:rsidP="00FC5FA0">
      <w:pPr>
        <w:autoSpaceDE w:val="0"/>
        <w:autoSpaceDN w:val="0"/>
        <w:adjustRightInd w:val="0"/>
        <w:spacing w:after="0" w:line="240" w:lineRule="auto"/>
        <w:jc w:val="both"/>
        <w:rPr>
          <w:rFonts w:ascii="BookAntiqua" w:hAnsi="BookAntiqua" w:cs="BookAntiqua"/>
        </w:rPr>
      </w:pPr>
      <w:r w:rsidRPr="00F9718A">
        <w:rPr>
          <w:rFonts w:cstheme="minorHAnsi"/>
        </w:rPr>
        <w:t>Ai vincitori sarà assegnato un</w:t>
      </w:r>
      <w:r w:rsidR="00EE0314" w:rsidRPr="00F9718A">
        <w:rPr>
          <w:rFonts w:cstheme="minorHAnsi"/>
        </w:rPr>
        <w:t xml:space="preserve"> premio in denaro pari a euro </w:t>
      </w:r>
      <w:r w:rsidR="00F9718A" w:rsidRPr="00F9718A">
        <w:rPr>
          <w:rFonts w:cstheme="minorHAnsi"/>
        </w:rPr>
        <w:t>2500</w:t>
      </w:r>
      <w:r w:rsidR="00EE0314" w:rsidRPr="00F9718A">
        <w:rPr>
          <w:rFonts w:cstheme="minorHAnsi"/>
        </w:rPr>
        <w:t xml:space="preserve"> </w:t>
      </w:r>
      <w:r w:rsidRPr="00F9718A">
        <w:rPr>
          <w:rFonts w:cstheme="minorHAnsi"/>
        </w:rPr>
        <w:t>ciascuno</w:t>
      </w:r>
      <w:r w:rsidR="00290600" w:rsidRPr="00F9718A">
        <w:rPr>
          <w:rFonts w:cstheme="minorHAnsi"/>
        </w:rPr>
        <w:t xml:space="preserve"> (l’importo si intende al netto delle imposte, così come stabilito dal comma 1 art.50 Lettera c TUIR).</w:t>
      </w:r>
      <w:r w:rsidR="00A369B5" w:rsidRPr="00F9718A">
        <w:rPr>
          <w:rFonts w:cstheme="minorHAnsi"/>
        </w:rPr>
        <w:t xml:space="preserve"> </w:t>
      </w:r>
      <w:r w:rsidR="006407B9" w:rsidRPr="00F9718A">
        <w:rPr>
          <w:rFonts w:cstheme="minorHAnsi"/>
        </w:rPr>
        <w:t xml:space="preserve">In caso di tesi realizzate in co-autorialità il premio in denaro sarà diviso equamente tra gli autori. </w:t>
      </w:r>
      <w:r w:rsidR="008C4E54" w:rsidRPr="00F9718A">
        <w:rPr>
          <w:rFonts w:cstheme="minorHAnsi"/>
        </w:rPr>
        <w:t>Inoltre, coloro che avranno superato un preliminare colloquio di selezione potranno partecipare ad uno stage presso Ac</w:t>
      </w:r>
      <w:r w:rsidR="005D6900" w:rsidRPr="00F9718A">
        <w:rPr>
          <w:rFonts w:cstheme="minorHAnsi"/>
        </w:rPr>
        <w:t xml:space="preserve">centure </w:t>
      </w:r>
      <w:r w:rsidR="00F84B9A" w:rsidRPr="00F9718A">
        <w:rPr>
          <w:rFonts w:cstheme="minorHAnsi"/>
        </w:rPr>
        <w:t>SpA o una delle società del gruppo</w:t>
      </w:r>
      <w:r w:rsidR="008C4E54" w:rsidRPr="00F9718A">
        <w:rPr>
          <w:rFonts w:cstheme="minorHAnsi"/>
        </w:rPr>
        <w:t xml:space="preserve">. Lo stage avrà la durata massima di 6 mesi e prevederà un rimborso spese </w:t>
      </w:r>
      <w:r w:rsidR="005D6900" w:rsidRPr="00F9718A">
        <w:rPr>
          <w:rFonts w:cstheme="minorHAnsi"/>
        </w:rPr>
        <w:t>mensil</w:t>
      </w:r>
      <w:r w:rsidR="00FD244D" w:rsidRPr="00F9718A">
        <w:rPr>
          <w:rFonts w:cstheme="minorHAnsi"/>
        </w:rPr>
        <w:t>e</w:t>
      </w:r>
      <w:r w:rsidR="0088539C" w:rsidRPr="00F9718A">
        <w:rPr>
          <w:rFonts w:cstheme="minorHAnsi"/>
        </w:rPr>
        <w:t>.</w:t>
      </w:r>
    </w:p>
    <w:p w:rsidR="00B86517" w:rsidRPr="00F9718A" w:rsidRDefault="00B86517" w:rsidP="00D46D17">
      <w:pPr>
        <w:spacing w:after="0" w:line="240" w:lineRule="auto"/>
        <w:jc w:val="center"/>
        <w:rPr>
          <w:rFonts w:cstheme="minorHAnsi"/>
          <w:b/>
        </w:rPr>
      </w:pPr>
    </w:p>
    <w:p w:rsidR="00D46D17" w:rsidRPr="00F9718A" w:rsidRDefault="00EE0314" w:rsidP="00D46D17">
      <w:pPr>
        <w:spacing w:after="0" w:line="240" w:lineRule="auto"/>
        <w:jc w:val="center"/>
        <w:rPr>
          <w:rFonts w:cstheme="minorHAnsi"/>
          <w:b/>
        </w:rPr>
      </w:pPr>
      <w:r w:rsidRPr="00F9718A">
        <w:rPr>
          <w:rFonts w:cstheme="minorHAnsi"/>
          <w:b/>
        </w:rPr>
        <w:t>ART. 6</w:t>
      </w:r>
    </w:p>
    <w:p w:rsidR="0088539C" w:rsidRPr="00F9718A" w:rsidRDefault="0088539C" w:rsidP="00560C90">
      <w:pPr>
        <w:spacing w:after="0" w:line="240" w:lineRule="auto"/>
        <w:jc w:val="both"/>
        <w:rPr>
          <w:rFonts w:cstheme="minorHAnsi"/>
        </w:rPr>
      </w:pPr>
      <w:r w:rsidRPr="00F9718A">
        <w:rPr>
          <w:rFonts w:cstheme="minorHAnsi"/>
        </w:rPr>
        <w:t>Le domande di partecipazione, indirizzate alla Segreteria dell’Associazione Alumni Accenture, redatte in carta semplice e con l’indicazione dei dati anagrafici e di residenza o domicilio, d</w:t>
      </w:r>
      <w:r w:rsidR="00B85890" w:rsidRPr="00F9718A">
        <w:rPr>
          <w:rFonts w:cstheme="minorHAnsi"/>
        </w:rPr>
        <w:t xml:space="preserve">ovranno essere inviate </w:t>
      </w:r>
      <w:r w:rsidR="00B85890" w:rsidRPr="0096761C">
        <w:rPr>
          <w:rFonts w:cstheme="minorHAnsi"/>
          <w:b/>
        </w:rPr>
        <w:t>entro il</w:t>
      </w:r>
      <w:r w:rsidR="007D2A64" w:rsidRPr="0096761C">
        <w:rPr>
          <w:rFonts w:cstheme="minorHAnsi"/>
          <w:b/>
        </w:rPr>
        <w:t xml:space="preserve"> </w:t>
      </w:r>
      <w:r w:rsidR="00BD44B0" w:rsidRPr="0096761C">
        <w:rPr>
          <w:rFonts w:cstheme="minorHAnsi"/>
          <w:b/>
        </w:rPr>
        <w:t>30</w:t>
      </w:r>
      <w:r w:rsidR="006407B9" w:rsidRPr="0096761C">
        <w:rPr>
          <w:rFonts w:cstheme="minorHAnsi"/>
          <w:b/>
        </w:rPr>
        <w:t xml:space="preserve"> giugno</w:t>
      </w:r>
      <w:r w:rsidR="00B85890" w:rsidRPr="0096761C">
        <w:rPr>
          <w:rFonts w:cstheme="minorHAnsi"/>
          <w:b/>
        </w:rPr>
        <w:t xml:space="preserve"> 2014</w:t>
      </w:r>
      <w:r w:rsidRPr="00F9718A">
        <w:rPr>
          <w:rFonts w:cstheme="minorHAnsi"/>
        </w:rPr>
        <w:t xml:space="preserve"> al seguent</w:t>
      </w:r>
      <w:r w:rsidR="00261774" w:rsidRPr="00F9718A">
        <w:rPr>
          <w:rFonts w:cstheme="minorHAnsi"/>
        </w:rPr>
        <w:t>e indirizzo:</w:t>
      </w:r>
      <w:r w:rsidR="007D2A64" w:rsidRPr="00F9718A">
        <w:rPr>
          <w:rFonts w:cstheme="minorHAnsi"/>
        </w:rPr>
        <w:t xml:space="preserve"> </w:t>
      </w:r>
      <w:r w:rsidR="00C43D9F" w:rsidRPr="00F9718A">
        <w:rPr>
          <w:rFonts w:cstheme="minorHAnsi"/>
        </w:rPr>
        <w:t xml:space="preserve">Via M. Quadrio, 17 </w:t>
      </w:r>
      <w:r w:rsidR="00A369B5" w:rsidRPr="00F9718A">
        <w:rPr>
          <w:rFonts w:cstheme="minorHAnsi"/>
        </w:rPr>
        <w:t>–</w:t>
      </w:r>
      <w:r w:rsidR="00C43D9F" w:rsidRPr="00F9718A">
        <w:rPr>
          <w:rFonts w:cstheme="minorHAnsi"/>
        </w:rPr>
        <w:t xml:space="preserve"> </w:t>
      </w:r>
      <w:r w:rsidR="00A369B5" w:rsidRPr="00F9718A">
        <w:rPr>
          <w:rFonts w:cstheme="minorHAnsi"/>
        </w:rPr>
        <w:t xml:space="preserve">20154 </w:t>
      </w:r>
      <w:r w:rsidR="00C43D9F" w:rsidRPr="00F9718A">
        <w:rPr>
          <w:rFonts w:cstheme="minorHAnsi"/>
        </w:rPr>
        <w:t>Milano</w:t>
      </w:r>
      <w:r w:rsidR="00FC5FA0" w:rsidRPr="00F9718A">
        <w:rPr>
          <w:rFonts w:cstheme="minorHAnsi"/>
        </w:rPr>
        <w:t>.</w:t>
      </w:r>
    </w:p>
    <w:p w:rsidR="0088539C" w:rsidRPr="00F9718A" w:rsidRDefault="0088539C" w:rsidP="00560C90">
      <w:pPr>
        <w:spacing w:after="0" w:line="240" w:lineRule="auto"/>
        <w:jc w:val="both"/>
        <w:rPr>
          <w:rFonts w:cstheme="minorHAnsi"/>
        </w:rPr>
      </w:pPr>
      <w:r w:rsidRPr="00F9718A">
        <w:rPr>
          <w:rFonts w:cstheme="minorHAnsi"/>
        </w:rPr>
        <w:t>Non saranno accettate domande pervenute oltre la data di scadenz</w:t>
      </w:r>
      <w:r w:rsidR="00B164AD" w:rsidRPr="00F9718A">
        <w:rPr>
          <w:rFonts w:cstheme="minorHAnsi"/>
        </w:rPr>
        <w:t>a (farà fede il timbro postale) o incomplete.</w:t>
      </w:r>
    </w:p>
    <w:p w:rsidR="00B164AD" w:rsidRPr="00F9718A" w:rsidRDefault="0088539C" w:rsidP="00560C90">
      <w:pPr>
        <w:spacing w:after="0" w:line="240" w:lineRule="auto"/>
        <w:jc w:val="both"/>
        <w:rPr>
          <w:rFonts w:cstheme="minorHAnsi"/>
        </w:rPr>
      </w:pPr>
      <w:r w:rsidRPr="00F9718A">
        <w:rPr>
          <w:rFonts w:cstheme="minorHAnsi"/>
        </w:rPr>
        <w:t>Nella domanda i candidati dovranno dichiarare sotto la propria responsabilità, ai sensi degli ar</w:t>
      </w:r>
      <w:r w:rsidR="00B164AD" w:rsidRPr="00F9718A">
        <w:rPr>
          <w:rFonts w:cstheme="minorHAnsi"/>
        </w:rPr>
        <w:t>t. 46 e 47 del D.P.R. 445/2000:</w:t>
      </w:r>
    </w:p>
    <w:p w:rsidR="0088539C" w:rsidRPr="00F9718A" w:rsidRDefault="00A369B5" w:rsidP="00560C90">
      <w:pPr>
        <w:spacing w:after="0" w:line="240" w:lineRule="auto"/>
        <w:jc w:val="both"/>
        <w:rPr>
          <w:rFonts w:cstheme="minorHAnsi"/>
        </w:rPr>
      </w:pPr>
      <w:r w:rsidRPr="00F9718A">
        <w:rPr>
          <w:rFonts w:cstheme="minorHAnsi"/>
        </w:rPr>
        <w:t>- data e luogo di nascita</w:t>
      </w:r>
    </w:p>
    <w:p w:rsidR="0088539C" w:rsidRPr="00F9718A" w:rsidRDefault="00A369B5" w:rsidP="00560C90">
      <w:pPr>
        <w:spacing w:after="0" w:line="240" w:lineRule="auto"/>
        <w:jc w:val="both"/>
        <w:rPr>
          <w:rFonts w:cstheme="minorHAnsi"/>
        </w:rPr>
      </w:pPr>
      <w:r w:rsidRPr="00F9718A">
        <w:rPr>
          <w:rFonts w:cstheme="minorHAnsi"/>
        </w:rPr>
        <w:t>- residenza e cittadinanza</w:t>
      </w:r>
    </w:p>
    <w:p w:rsidR="0088539C" w:rsidRPr="00F9718A" w:rsidRDefault="0088539C" w:rsidP="00560C90">
      <w:pPr>
        <w:spacing w:after="0" w:line="240" w:lineRule="auto"/>
        <w:jc w:val="both"/>
        <w:rPr>
          <w:rFonts w:cstheme="minorHAnsi"/>
        </w:rPr>
      </w:pPr>
      <w:r w:rsidRPr="00F9718A">
        <w:rPr>
          <w:rFonts w:cstheme="minorHAnsi"/>
        </w:rPr>
        <w:t xml:space="preserve">- </w:t>
      </w:r>
      <w:r w:rsidR="00B164AD" w:rsidRPr="00F9718A">
        <w:rPr>
          <w:rFonts w:cstheme="minorHAnsi"/>
        </w:rPr>
        <w:t xml:space="preserve">il </w:t>
      </w:r>
      <w:r w:rsidR="00FC5FA0" w:rsidRPr="00F9718A">
        <w:rPr>
          <w:rFonts w:cstheme="minorHAnsi"/>
        </w:rPr>
        <w:t xml:space="preserve">domicilio, </w:t>
      </w:r>
      <w:r w:rsidR="00B164AD" w:rsidRPr="00F9718A">
        <w:rPr>
          <w:rFonts w:cstheme="minorHAnsi"/>
        </w:rPr>
        <w:t xml:space="preserve">il recapito telefonico </w:t>
      </w:r>
      <w:r w:rsidR="00FC5FA0" w:rsidRPr="00F9718A">
        <w:rPr>
          <w:rFonts w:cstheme="minorHAnsi"/>
        </w:rPr>
        <w:t xml:space="preserve">e un indirizzo email </w:t>
      </w:r>
      <w:r w:rsidR="00B164AD" w:rsidRPr="00F9718A">
        <w:rPr>
          <w:rFonts w:cstheme="minorHAnsi"/>
        </w:rPr>
        <w:t>al quale vorranno ricevere tutte le comunicazioni.</w:t>
      </w:r>
    </w:p>
    <w:p w:rsidR="00D46D17" w:rsidRPr="00F9718A" w:rsidRDefault="00D46D17" w:rsidP="00560C90">
      <w:pPr>
        <w:spacing w:after="0" w:line="240" w:lineRule="auto"/>
        <w:jc w:val="both"/>
        <w:rPr>
          <w:rFonts w:cstheme="minorHAnsi"/>
        </w:rPr>
      </w:pPr>
    </w:p>
    <w:p w:rsidR="0088539C" w:rsidRPr="00F9718A" w:rsidRDefault="0088539C" w:rsidP="00560C90">
      <w:pPr>
        <w:spacing w:after="0" w:line="240" w:lineRule="auto"/>
        <w:jc w:val="both"/>
        <w:rPr>
          <w:rFonts w:cstheme="minorHAnsi"/>
        </w:rPr>
      </w:pPr>
      <w:r w:rsidRPr="00F9718A">
        <w:rPr>
          <w:rFonts w:cstheme="minorHAnsi"/>
        </w:rPr>
        <w:t xml:space="preserve">Alla domanda dovranno essere allegati i seguenti documenti: </w:t>
      </w:r>
    </w:p>
    <w:p w:rsidR="00D46D17" w:rsidRPr="00F9718A" w:rsidRDefault="003268CA" w:rsidP="00D46D17">
      <w:pPr>
        <w:pStyle w:val="Default"/>
        <w:numPr>
          <w:ilvl w:val="0"/>
          <w:numId w:val="2"/>
        </w:numPr>
        <w:rPr>
          <w:rFonts w:asciiTheme="minorHAnsi" w:hAnsiTheme="minorHAnsi" w:cstheme="minorHAnsi"/>
          <w:sz w:val="22"/>
          <w:szCs w:val="22"/>
        </w:rPr>
      </w:pPr>
      <w:r w:rsidRPr="00F9718A">
        <w:rPr>
          <w:rFonts w:asciiTheme="minorHAnsi" w:hAnsiTheme="minorHAnsi" w:cstheme="minorHAnsi"/>
          <w:sz w:val="22"/>
          <w:szCs w:val="22"/>
        </w:rPr>
        <w:t>curriculum vitae</w:t>
      </w:r>
    </w:p>
    <w:p w:rsidR="00EF4319" w:rsidRPr="00F9718A" w:rsidRDefault="00EF4319" w:rsidP="00D46D17">
      <w:pPr>
        <w:pStyle w:val="Default"/>
        <w:numPr>
          <w:ilvl w:val="0"/>
          <w:numId w:val="2"/>
        </w:numPr>
        <w:rPr>
          <w:rFonts w:asciiTheme="minorHAnsi" w:hAnsiTheme="minorHAnsi" w:cstheme="minorHAnsi"/>
          <w:sz w:val="22"/>
          <w:szCs w:val="22"/>
        </w:rPr>
      </w:pPr>
      <w:r w:rsidRPr="00F9718A">
        <w:rPr>
          <w:rFonts w:asciiTheme="minorHAnsi" w:hAnsiTheme="minorHAnsi" w:cstheme="minorHAnsi"/>
          <w:sz w:val="22"/>
          <w:szCs w:val="22"/>
        </w:rPr>
        <w:t>1 copia della tesi di laurea</w:t>
      </w:r>
      <w:r w:rsidR="004269D2" w:rsidRPr="00F9718A">
        <w:rPr>
          <w:rFonts w:asciiTheme="minorHAnsi" w:hAnsiTheme="minorHAnsi" w:cstheme="minorHAnsi"/>
          <w:sz w:val="22"/>
          <w:szCs w:val="22"/>
        </w:rPr>
        <w:t xml:space="preserve"> (</w:t>
      </w:r>
      <w:r w:rsidR="00D86DF4" w:rsidRPr="00F9718A">
        <w:rPr>
          <w:rFonts w:asciiTheme="minorHAnsi" w:hAnsiTheme="minorHAnsi" w:cstheme="minorHAnsi"/>
          <w:color w:val="auto"/>
          <w:sz w:val="22"/>
          <w:szCs w:val="22"/>
        </w:rPr>
        <w:t xml:space="preserve">preferibilmente </w:t>
      </w:r>
      <w:r w:rsidR="002974FC" w:rsidRPr="00F9718A">
        <w:rPr>
          <w:rFonts w:asciiTheme="minorHAnsi" w:hAnsiTheme="minorHAnsi" w:cstheme="minorHAnsi"/>
          <w:sz w:val="22"/>
          <w:szCs w:val="22"/>
        </w:rPr>
        <w:t>su supporto</w:t>
      </w:r>
      <w:r w:rsidR="00C43D9F" w:rsidRPr="00F9718A">
        <w:rPr>
          <w:rFonts w:asciiTheme="minorHAnsi" w:hAnsiTheme="minorHAnsi" w:cstheme="minorHAnsi"/>
          <w:sz w:val="22"/>
          <w:szCs w:val="22"/>
        </w:rPr>
        <w:t xml:space="preserve"> elettronico)</w:t>
      </w:r>
    </w:p>
    <w:p w:rsidR="00B85890" w:rsidRPr="00F9718A" w:rsidRDefault="00B85890" w:rsidP="00D46D17">
      <w:pPr>
        <w:pStyle w:val="Default"/>
        <w:numPr>
          <w:ilvl w:val="0"/>
          <w:numId w:val="2"/>
        </w:numPr>
        <w:rPr>
          <w:rFonts w:asciiTheme="minorHAnsi" w:hAnsiTheme="minorHAnsi" w:cstheme="minorHAnsi"/>
          <w:sz w:val="22"/>
          <w:szCs w:val="22"/>
        </w:rPr>
      </w:pPr>
      <w:r w:rsidRPr="00F9718A">
        <w:rPr>
          <w:rFonts w:asciiTheme="minorHAnsi" w:hAnsiTheme="minorHAnsi" w:cstheme="minorHAnsi"/>
          <w:sz w:val="22"/>
          <w:szCs w:val="22"/>
        </w:rPr>
        <w:t>Abstract della tesi di laurea</w:t>
      </w:r>
      <w:r w:rsidR="006B0EA6" w:rsidRPr="00F9718A">
        <w:rPr>
          <w:rFonts w:asciiTheme="minorHAnsi" w:hAnsiTheme="minorHAnsi" w:cstheme="minorHAnsi"/>
          <w:sz w:val="22"/>
          <w:szCs w:val="22"/>
        </w:rPr>
        <w:t xml:space="preserve"> (massimo 1</w:t>
      </w:r>
      <w:r w:rsidR="00694FA6" w:rsidRPr="00F9718A">
        <w:rPr>
          <w:rFonts w:asciiTheme="minorHAnsi" w:hAnsiTheme="minorHAnsi" w:cstheme="minorHAnsi"/>
          <w:sz w:val="22"/>
          <w:szCs w:val="22"/>
        </w:rPr>
        <w:t>0 pagine)</w:t>
      </w:r>
    </w:p>
    <w:p w:rsidR="003268CA" w:rsidRPr="00F9718A" w:rsidRDefault="003268CA" w:rsidP="00D46D17">
      <w:pPr>
        <w:pStyle w:val="Default"/>
        <w:numPr>
          <w:ilvl w:val="0"/>
          <w:numId w:val="2"/>
        </w:numPr>
        <w:rPr>
          <w:rFonts w:asciiTheme="minorHAnsi" w:hAnsiTheme="minorHAnsi" w:cstheme="minorHAnsi"/>
          <w:sz w:val="22"/>
          <w:szCs w:val="22"/>
        </w:rPr>
      </w:pPr>
      <w:r w:rsidRPr="00F9718A">
        <w:rPr>
          <w:rFonts w:asciiTheme="minorHAnsi" w:hAnsiTheme="minorHAnsi" w:cstheme="minorHAnsi"/>
          <w:sz w:val="22"/>
          <w:szCs w:val="22"/>
        </w:rPr>
        <w:t>elenco degli esami con relativa votazione</w:t>
      </w:r>
    </w:p>
    <w:p w:rsidR="0096761C" w:rsidRDefault="004269D2" w:rsidP="00D46D17">
      <w:pPr>
        <w:pStyle w:val="Default"/>
        <w:numPr>
          <w:ilvl w:val="0"/>
          <w:numId w:val="2"/>
        </w:numPr>
        <w:rPr>
          <w:rFonts w:asciiTheme="minorHAnsi" w:hAnsiTheme="minorHAnsi" w:cstheme="minorHAnsi"/>
          <w:sz w:val="22"/>
          <w:szCs w:val="22"/>
        </w:rPr>
      </w:pPr>
      <w:r w:rsidRPr="00F9718A">
        <w:rPr>
          <w:rFonts w:asciiTheme="minorHAnsi" w:hAnsiTheme="minorHAnsi" w:cstheme="minorHAnsi"/>
          <w:sz w:val="22"/>
          <w:szCs w:val="22"/>
        </w:rPr>
        <w:t>il certificato di laurea rilasciato dalla se</w:t>
      </w:r>
      <w:r w:rsidR="00B85890" w:rsidRPr="00F9718A">
        <w:rPr>
          <w:rFonts w:asciiTheme="minorHAnsi" w:hAnsiTheme="minorHAnsi" w:cstheme="minorHAnsi"/>
          <w:sz w:val="22"/>
          <w:szCs w:val="22"/>
        </w:rPr>
        <w:t xml:space="preserve">greteria studenti </w:t>
      </w:r>
    </w:p>
    <w:p w:rsidR="004269D2" w:rsidRPr="00F9718A" w:rsidRDefault="00B85890" w:rsidP="0096761C">
      <w:pPr>
        <w:pStyle w:val="Default"/>
        <w:ind w:left="720"/>
        <w:rPr>
          <w:rFonts w:asciiTheme="minorHAnsi" w:hAnsiTheme="minorHAnsi" w:cstheme="minorHAnsi"/>
          <w:sz w:val="22"/>
          <w:szCs w:val="22"/>
        </w:rPr>
      </w:pPr>
      <w:r w:rsidRPr="00F9718A">
        <w:rPr>
          <w:rFonts w:asciiTheme="minorHAnsi" w:hAnsiTheme="minorHAnsi" w:cstheme="minorHAnsi"/>
          <w:sz w:val="22"/>
          <w:szCs w:val="22"/>
        </w:rPr>
        <w:t>(Qualora non sia possibile produrre in tempo utile il certificato di laurea sarà possibile inviare anche un’autocertificazione)</w:t>
      </w:r>
    </w:p>
    <w:p w:rsidR="0088539C" w:rsidRPr="00F9718A" w:rsidRDefault="0088539C" w:rsidP="00D46D17">
      <w:pPr>
        <w:pStyle w:val="Default"/>
        <w:numPr>
          <w:ilvl w:val="0"/>
          <w:numId w:val="2"/>
        </w:numPr>
        <w:rPr>
          <w:rFonts w:asciiTheme="minorHAnsi" w:hAnsiTheme="minorHAnsi" w:cstheme="minorHAnsi"/>
          <w:sz w:val="22"/>
          <w:szCs w:val="22"/>
        </w:rPr>
      </w:pPr>
      <w:r w:rsidRPr="00F9718A">
        <w:rPr>
          <w:rFonts w:asciiTheme="minorHAnsi" w:hAnsiTheme="minorHAnsi" w:cstheme="minorHAnsi"/>
          <w:sz w:val="22"/>
          <w:szCs w:val="22"/>
        </w:rPr>
        <w:t xml:space="preserve">fotocopia di </w:t>
      </w:r>
      <w:r w:rsidR="0096761C">
        <w:rPr>
          <w:rFonts w:asciiTheme="minorHAnsi" w:hAnsiTheme="minorHAnsi" w:cstheme="minorHAnsi"/>
          <w:sz w:val="22"/>
          <w:szCs w:val="22"/>
        </w:rPr>
        <w:t>un documento di riconoscimento</w:t>
      </w:r>
    </w:p>
    <w:p w:rsidR="0088539C" w:rsidRPr="00F9718A" w:rsidRDefault="0088539C" w:rsidP="00D46D17">
      <w:pPr>
        <w:pStyle w:val="Default"/>
        <w:numPr>
          <w:ilvl w:val="0"/>
          <w:numId w:val="2"/>
        </w:numPr>
        <w:rPr>
          <w:rFonts w:asciiTheme="minorHAnsi" w:hAnsiTheme="minorHAnsi" w:cstheme="minorHAnsi"/>
          <w:sz w:val="22"/>
          <w:szCs w:val="22"/>
        </w:rPr>
      </w:pPr>
      <w:r w:rsidRPr="00F9718A">
        <w:rPr>
          <w:rFonts w:asciiTheme="minorHAnsi" w:hAnsiTheme="minorHAnsi" w:cstheme="minorHAnsi"/>
          <w:sz w:val="22"/>
          <w:szCs w:val="22"/>
        </w:rPr>
        <w:t xml:space="preserve">un estratto </w:t>
      </w:r>
      <w:r w:rsidR="00B164AD" w:rsidRPr="00F9718A">
        <w:rPr>
          <w:rFonts w:asciiTheme="minorHAnsi" w:hAnsiTheme="minorHAnsi" w:cstheme="minorHAnsi"/>
          <w:sz w:val="22"/>
          <w:szCs w:val="22"/>
        </w:rPr>
        <w:t>di</w:t>
      </w:r>
      <w:r w:rsidR="0096761C">
        <w:rPr>
          <w:rFonts w:asciiTheme="minorHAnsi" w:hAnsiTheme="minorHAnsi" w:cstheme="minorHAnsi"/>
          <w:sz w:val="22"/>
          <w:szCs w:val="22"/>
        </w:rPr>
        <w:t xml:space="preserve"> eventuali lavori scientifici</w:t>
      </w:r>
      <w:r w:rsidRPr="00F9718A">
        <w:rPr>
          <w:rFonts w:asciiTheme="minorHAnsi" w:hAnsiTheme="minorHAnsi" w:cstheme="minorHAnsi"/>
          <w:sz w:val="22"/>
          <w:szCs w:val="22"/>
        </w:rPr>
        <w:t xml:space="preserve"> </w:t>
      </w:r>
    </w:p>
    <w:p w:rsidR="0088539C" w:rsidRPr="00F9718A" w:rsidRDefault="0088539C" w:rsidP="00D46D17">
      <w:pPr>
        <w:pStyle w:val="Default"/>
        <w:numPr>
          <w:ilvl w:val="0"/>
          <w:numId w:val="2"/>
        </w:numPr>
        <w:rPr>
          <w:rFonts w:asciiTheme="minorHAnsi" w:hAnsiTheme="minorHAnsi" w:cstheme="minorHAnsi"/>
          <w:sz w:val="22"/>
          <w:szCs w:val="22"/>
        </w:rPr>
      </w:pPr>
      <w:r w:rsidRPr="00F9718A">
        <w:rPr>
          <w:rFonts w:asciiTheme="minorHAnsi" w:hAnsiTheme="minorHAnsi" w:cstheme="minorHAnsi"/>
          <w:sz w:val="22"/>
          <w:szCs w:val="22"/>
        </w:rPr>
        <w:t xml:space="preserve">un elenco dei documenti e dei titoli presentati. </w:t>
      </w:r>
    </w:p>
    <w:p w:rsidR="0088539C" w:rsidRPr="00F9718A" w:rsidRDefault="0088539C" w:rsidP="00560C90">
      <w:pPr>
        <w:pStyle w:val="Default"/>
        <w:rPr>
          <w:rFonts w:asciiTheme="minorHAnsi" w:hAnsiTheme="minorHAnsi" w:cstheme="minorHAnsi"/>
          <w:sz w:val="22"/>
          <w:szCs w:val="22"/>
        </w:rPr>
      </w:pPr>
    </w:p>
    <w:p w:rsidR="00B164AD" w:rsidRPr="00F9718A" w:rsidRDefault="00EE0314" w:rsidP="009C0803">
      <w:pPr>
        <w:pStyle w:val="Default"/>
        <w:jc w:val="center"/>
        <w:rPr>
          <w:rFonts w:asciiTheme="minorHAnsi" w:hAnsiTheme="minorHAnsi" w:cstheme="minorHAnsi"/>
          <w:color w:val="auto"/>
          <w:sz w:val="22"/>
          <w:szCs w:val="22"/>
        </w:rPr>
      </w:pPr>
      <w:r w:rsidRPr="00F9718A">
        <w:rPr>
          <w:rFonts w:asciiTheme="minorHAnsi" w:hAnsiTheme="minorHAnsi" w:cstheme="minorHAnsi"/>
          <w:b/>
          <w:bCs/>
          <w:color w:val="auto"/>
          <w:sz w:val="22"/>
          <w:szCs w:val="22"/>
        </w:rPr>
        <w:t>AR</w:t>
      </w:r>
      <w:r w:rsidR="0096761C">
        <w:rPr>
          <w:rFonts w:asciiTheme="minorHAnsi" w:hAnsiTheme="minorHAnsi" w:cstheme="minorHAnsi"/>
          <w:b/>
          <w:bCs/>
          <w:color w:val="auto"/>
          <w:sz w:val="22"/>
          <w:szCs w:val="22"/>
        </w:rPr>
        <w:t>T. 7</w:t>
      </w:r>
    </w:p>
    <w:p w:rsidR="00B164AD" w:rsidRPr="00F9718A" w:rsidRDefault="00B164AD" w:rsidP="00265ADC">
      <w:pPr>
        <w:pStyle w:val="Default"/>
        <w:jc w:val="both"/>
        <w:rPr>
          <w:rFonts w:asciiTheme="minorHAnsi" w:hAnsiTheme="minorHAnsi" w:cstheme="minorHAnsi"/>
          <w:sz w:val="22"/>
          <w:szCs w:val="22"/>
        </w:rPr>
      </w:pPr>
      <w:r w:rsidRPr="00F9718A">
        <w:rPr>
          <w:rFonts w:asciiTheme="minorHAnsi" w:hAnsiTheme="minorHAnsi" w:cstheme="minorHAnsi"/>
          <w:sz w:val="22"/>
          <w:szCs w:val="22"/>
        </w:rPr>
        <w:t xml:space="preserve">I vincitori del Premio saranno nominati da una </w:t>
      </w:r>
      <w:r w:rsidR="00C43D9F" w:rsidRPr="00F9718A">
        <w:rPr>
          <w:rFonts w:asciiTheme="minorHAnsi" w:hAnsiTheme="minorHAnsi" w:cstheme="minorHAnsi"/>
          <w:sz w:val="22"/>
          <w:szCs w:val="22"/>
        </w:rPr>
        <w:t>C</w:t>
      </w:r>
      <w:r w:rsidRPr="00F9718A">
        <w:rPr>
          <w:rFonts w:asciiTheme="minorHAnsi" w:hAnsiTheme="minorHAnsi" w:cstheme="minorHAnsi"/>
          <w:sz w:val="22"/>
          <w:szCs w:val="22"/>
        </w:rPr>
        <w:t xml:space="preserve">ommissione composta </w:t>
      </w:r>
      <w:r w:rsidR="007D2A64" w:rsidRPr="00F9718A">
        <w:rPr>
          <w:rFonts w:asciiTheme="minorHAnsi" w:hAnsiTheme="minorHAnsi" w:cstheme="minorHAnsi"/>
          <w:sz w:val="22"/>
          <w:szCs w:val="22"/>
        </w:rPr>
        <w:t xml:space="preserve">da </w:t>
      </w:r>
      <w:r w:rsidR="00C43D9F" w:rsidRPr="00F9718A">
        <w:rPr>
          <w:rFonts w:asciiTheme="minorHAnsi" w:hAnsiTheme="minorHAnsi" w:cstheme="minorHAnsi"/>
          <w:sz w:val="22"/>
          <w:szCs w:val="22"/>
        </w:rPr>
        <w:t xml:space="preserve">rappresentanti di </w:t>
      </w:r>
      <w:r w:rsidR="007D2A64" w:rsidRPr="00F9718A">
        <w:rPr>
          <w:rFonts w:asciiTheme="minorHAnsi" w:hAnsiTheme="minorHAnsi" w:cstheme="minorHAnsi"/>
          <w:sz w:val="22"/>
          <w:szCs w:val="22"/>
        </w:rPr>
        <w:t xml:space="preserve">Accenture, </w:t>
      </w:r>
      <w:r w:rsidR="00265ADC" w:rsidRPr="00F9718A">
        <w:rPr>
          <w:rFonts w:asciiTheme="minorHAnsi" w:hAnsiTheme="minorHAnsi" w:cstheme="minorHAnsi"/>
          <w:sz w:val="22"/>
          <w:szCs w:val="22"/>
        </w:rPr>
        <w:t>rappresentanti di AAA</w:t>
      </w:r>
      <w:r w:rsidR="007D2A64" w:rsidRPr="00F9718A">
        <w:rPr>
          <w:rFonts w:asciiTheme="minorHAnsi" w:hAnsiTheme="minorHAnsi" w:cstheme="minorHAnsi"/>
          <w:sz w:val="22"/>
          <w:szCs w:val="22"/>
        </w:rPr>
        <w:t>, esperti delle tematiche</w:t>
      </w:r>
      <w:r w:rsidR="00C43D9F" w:rsidRPr="00F9718A">
        <w:rPr>
          <w:rFonts w:asciiTheme="minorHAnsi" w:hAnsiTheme="minorHAnsi" w:cstheme="minorHAnsi"/>
          <w:sz w:val="22"/>
          <w:szCs w:val="22"/>
        </w:rPr>
        <w:t xml:space="preserve"> affrontate nelle tesi di laurea, indicate nell’art. 2.</w:t>
      </w:r>
      <w:r w:rsidR="00CA33C3" w:rsidRPr="00F9718A">
        <w:rPr>
          <w:rFonts w:asciiTheme="minorHAnsi" w:hAnsiTheme="minorHAnsi" w:cstheme="minorHAnsi"/>
          <w:sz w:val="22"/>
          <w:szCs w:val="22"/>
        </w:rPr>
        <w:t xml:space="preserve"> Il giudizio della Commissione è insindacabile.</w:t>
      </w:r>
    </w:p>
    <w:p w:rsidR="00A67A95" w:rsidRPr="00F9718A" w:rsidRDefault="00A67A95">
      <w:pPr>
        <w:rPr>
          <w:rFonts w:cstheme="minorHAnsi"/>
          <w:color w:val="000000"/>
        </w:rPr>
      </w:pPr>
      <w:r w:rsidRPr="00F9718A">
        <w:rPr>
          <w:rFonts w:cstheme="minorHAnsi"/>
        </w:rPr>
        <w:br w:type="page"/>
      </w:r>
    </w:p>
    <w:p w:rsidR="00A67A95" w:rsidRPr="000D19C7" w:rsidRDefault="00A67A95" w:rsidP="00560C90">
      <w:pPr>
        <w:pStyle w:val="Default"/>
        <w:rPr>
          <w:rFonts w:asciiTheme="minorHAnsi" w:hAnsiTheme="minorHAnsi" w:cstheme="minorHAnsi"/>
          <w:sz w:val="22"/>
          <w:szCs w:val="22"/>
        </w:rPr>
      </w:pPr>
    </w:p>
    <w:p w:rsidR="00A67A95" w:rsidRPr="000D19C7" w:rsidRDefault="00A67A95" w:rsidP="00560C90">
      <w:pPr>
        <w:pStyle w:val="Default"/>
        <w:rPr>
          <w:rFonts w:asciiTheme="minorHAnsi" w:hAnsiTheme="minorHAnsi" w:cstheme="minorHAnsi"/>
          <w:sz w:val="22"/>
          <w:szCs w:val="22"/>
        </w:rPr>
      </w:pPr>
    </w:p>
    <w:p w:rsidR="0088539C" w:rsidRPr="000D19C7" w:rsidRDefault="0096761C" w:rsidP="009C0803">
      <w:pPr>
        <w:pStyle w:val="Default"/>
        <w:jc w:val="center"/>
        <w:rPr>
          <w:rFonts w:asciiTheme="minorHAnsi" w:hAnsiTheme="minorHAnsi" w:cstheme="minorHAnsi"/>
          <w:b/>
          <w:color w:val="auto"/>
          <w:sz w:val="22"/>
          <w:szCs w:val="22"/>
        </w:rPr>
      </w:pPr>
      <w:r>
        <w:rPr>
          <w:rFonts w:asciiTheme="minorHAnsi" w:hAnsiTheme="minorHAnsi" w:cstheme="minorHAnsi"/>
          <w:b/>
          <w:bCs/>
          <w:color w:val="auto"/>
          <w:sz w:val="22"/>
          <w:szCs w:val="22"/>
        </w:rPr>
        <w:t>ART. 8</w:t>
      </w:r>
    </w:p>
    <w:p w:rsidR="00560C90" w:rsidRPr="000D19C7" w:rsidRDefault="00B164AD" w:rsidP="00560C90">
      <w:pPr>
        <w:pStyle w:val="Heading3"/>
        <w:spacing w:before="0" w:line="240" w:lineRule="auto"/>
        <w:jc w:val="both"/>
        <w:rPr>
          <w:rFonts w:asciiTheme="minorHAnsi" w:hAnsiTheme="minorHAnsi" w:cstheme="minorHAnsi"/>
          <w:b w:val="0"/>
          <w:color w:val="auto"/>
        </w:rPr>
      </w:pPr>
      <w:r w:rsidRPr="000D19C7">
        <w:rPr>
          <w:rFonts w:asciiTheme="minorHAnsi" w:hAnsiTheme="minorHAnsi" w:cstheme="minorHAnsi"/>
          <w:b w:val="0"/>
          <w:color w:val="auto"/>
        </w:rPr>
        <w:t>La partecipazione allo stage non comporta da parte di Accenture alcun obbligo di assunzione del candidato al termine dei 6 mesi</w:t>
      </w:r>
      <w:r w:rsidR="00560C90" w:rsidRPr="000D19C7">
        <w:rPr>
          <w:rFonts w:asciiTheme="minorHAnsi" w:hAnsiTheme="minorHAnsi" w:cstheme="minorHAnsi"/>
          <w:b w:val="0"/>
          <w:color w:val="auto"/>
        </w:rPr>
        <w:t xml:space="preserve"> previsti</w:t>
      </w:r>
      <w:r w:rsidRPr="000D19C7">
        <w:rPr>
          <w:rFonts w:asciiTheme="minorHAnsi" w:hAnsiTheme="minorHAnsi" w:cstheme="minorHAnsi"/>
          <w:b w:val="0"/>
          <w:color w:val="auto"/>
        </w:rPr>
        <w:t xml:space="preserve">. La procedura di attivazione degli stage sarà realizzata secondo quanto stabilito </w:t>
      </w:r>
      <w:r w:rsidR="00560C90" w:rsidRPr="000D19C7">
        <w:rPr>
          <w:rFonts w:asciiTheme="minorHAnsi" w:hAnsiTheme="minorHAnsi" w:cstheme="minorHAnsi"/>
          <w:b w:val="0"/>
          <w:color w:val="auto"/>
        </w:rPr>
        <w:t xml:space="preserve">dal Decreto Ministeriale 25 marzo 1998 numero 142 (Regolamento recante norme di attuazione dei principi e dei criteri di cui all´articolo 18 della legge 24 giugno 1997, n.196, sui tirocini formativi e di orientamento) </w:t>
      </w:r>
      <w:r w:rsidR="00543FE9" w:rsidRPr="000D19C7">
        <w:rPr>
          <w:rFonts w:asciiTheme="minorHAnsi" w:hAnsiTheme="minorHAnsi" w:cstheme="minorHAnsi"/>
          <w:b w:val="0"/>
          <w:color w:val="auto"/>
        </w:rPr>
        <w:t xml:space="preserve">e sue modificazioni </w:t>
      </w:r>
      <w:r w:rsidR="00560C90" w:rsidRPr="000D19C7">
        <w:rPr>
          <w:rFonts w:asciiTheme="minorHAnsi" w:hAnsiTheme="minorHAnsi" w:cstheme="minorHAnsi"/>
          <w:b w:val="0"/>
          <w:color w:val="auto"/>
        </w:rPr>
        <w:t xml:space="preserve">e </w:t>
      </w:r>
      <w:r w:rsidR="00543FE9" w:rsidRPr="000D19C7">
        <w:rPr>
          <w:rFonts w:asciiTheme="minorHAnsi" w:hAnsiTheme="minorHAnsi" w:cstheme="minorHAnsi"/>
          <w:b w:val="0"/>
          <w:color w:val="auto"/>
        </w:rPr>
        <w:t>dalle leggi regionali in materia di tirocini extracurriculari.</w:t>
      </w:r>
      <w:r w:rsidR="00560C90" w:rsidRPr="000D19C7">
        <w:rPr>
          <w:rFonts w:asciiTheme="minorHAnsi" w:hAnsiTheme="minorHAnsi" w:cstheme="minorHAnsi"/>
          <w:b w:val="0"/>
          <w:color w:val="auto"/>
        </w:rPr>
        <w:t xml:space="preserve"> </w:t>
      </w:r>
    </w:p>
    <w:p w:rsidR="009C0803" w:rsidRPr="000D19C7" w:rsidRDefault="009C0803" w:rsidP="00560C90">
      <w:pPr>
        <w:pStyle w:val="Heading1"/>
        <w:spacing w:before="0" w:beforeAutospacing="0" w:after="0" w:afterAutospacing="0"/>
        <w:jc w:val="both"/>
        <w:rPr>
          <w:rFonts w:asciiTheme="minorHAnsi" w:hAnsiTheme="minorHAnsi" w:cstheme="minorHAnsi"/>
          <w:b w:val="0"/>
          <w:sz w:val="22"/>
          <w:szCs w:val="22"/>
        </w:rPr>
      </w:pPr>
    </w:p>
    <w:p w:rsidR="009C0803" w:rsidRPr="000D19C7" w:rsidRDefault="0096761C" w:rsidP="009C0803">
      <w:pPr>
        <w:pStyle w:val="Heading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ART. 9</w:t>
      </w:r>
    </w:p>
    <w:p w:rsidR="00560C90" w:rsidRPr="000D19C7" w:rsidRDefault="00560C90" w:rsidP="00560C90">
      <w:pPr>
        <w:pStyle w:val="Heading1"/>
        <w:spacing w:before="0" w:beforeAutospacing="0" w:after="0" w:afterAutospacing="0"/>
        <w:jc w:val="both"/>
        <w:rPr>
          <w:rFonts w:asciiTheme="minorHAnsi" w:hAnsiTheme="minorHAnsi" w:cstheme="minorHAnsi"/>
          <w:b w:val="0"/>
          <w:sz w:val="22"/>
          <w:szCs w:val="22"/>
        </w:rPr>
      </w:pPr>
      <w:r w:rsidRPr="000D19C7">
        <w:rPr>
          <w:rFonts w:asciiTheme="minorHAnsi" w:hAnsiTheme="minorHAnsi" w:cstheme="minorHAnsi"/>
          <w:b w:val="0"/>
          <w:sz w:val="22"/>
          <w:szCs w:val="22"/>
        </w:rPr>
        <w:t xml:space="preserve">I vincitori del Premio si impegnano a partecipare alla </w:t>
      </w:r>
      <w:r w:rsidR="00CE490D" w:rsidRPr="000D19C7">
        <w:rPr>
          <w:rFonts w:asciiTheme="minorHAnsi" w:hAnsiTheme="minorHAnsi" w:cstheme="minorHAnsi"/>
          <w:b w:val="0"/>
          <w:sz w:val="22"/>
          <w:szCs w:val="22"/>
        </w:rPr>
        <w:t>cerimonia di consegna dei Premi nel giorno e nel luogo che saranno</w:t>
      </w:r>
      <w:r w:rsidR="00FC5FA0" w:rsidRPr="000D19C7">
        <w:rPr>
          <w:rFonts w:asciiTheme="minorHAnsi" w:hAnsiTheme="minorHAnsi" w:cstheme="minorHAnsi"/>
          <w:b w:val="0"/>
          <w:sz w:val="22"/>
          <w:szCs w:val="22"/>
        </w:rPr>
        <w:t xml:space="preserve"> comunicati successivamente.</w:t>
      </w:r>
    </w:p>
    <w:p w:rsidR="0088539C" w:rsidRPr="000D19C7" w:rsidRDefault="0088539C" w:rsidP="00560C90">
      <w:pPr>
        <w:pStyle w:val="Default"/>
        <w:rPr>
          <w:rFonts w:asciiTheme="minorHAnsi" w:hAnsiTheme="minorHAnsi" w:cstheme="minorHAnsi"/>
          <w:sz w:val="22"/>
          <w:szCs w:val="22"/>
        </w:rPr>
      </w:pPr>
    </w:p>
    <w:p w:rsidR="004269D2" w:rsidRPr="000D19C7" w:rsidRDefault="0096761C" w:rsidP="00290600">
      <w:pPr>
        <w:pStyle w:val="Default"/>
        <w:jc w:val="center"/>
        <w:rPr>
          <w:rFonts w:asciiTheme="minorHAnsi" w:hAnsiTheme="minorHAnsi" w:cstheme="minorHAnsi"/>
          <w:b/>
          <w:sz w:val="22"/>
          <w:szCs w:val="22"/>
        </w:rPr>
      </w:pPr>
      <w:r>
        <w:rPr>
          <w:rFonts w:asciiTheme="minorHAnsi" w:hAnsiTheme="minorHAnsi" w:cstheme="minorHAnsi"/>
          <w:b/>
          <w:sz w:val="22"/>
          <w:szCs w:val="22"/>
        </w:rPr>
        <w:t>ART. 10</w:t>
      </w:r>
    </w:p>
    <w:p w:rsidR="00370E40" w:rsidRPr="000D19C7" w:rsidRDefault="00265ADC" w:rsidP="00370E40">
      <w:pPr>
        <w:jc w:val="both"/>
        <w:rPr>
          <w:rFonts w:eastAsiaTheme="majorEastAsia" w:cstheme="minorHAnsi"/>
          <w:bCs/>
        </w:rPr>
      </w:pPr>
      <w:r w:rsidRPr="000D19C7">
        <w:rPr>
          <w:rFonts w:eastAsiaTheme="majorEastAsia" w:cstheme="minorHAnsi"/>
          <w:bCs/>
        </w:rPr>
        <w:t>AAA</w:t>
      </w:r>
      <w:r w:rsidR="00C43D9F" w:rsidRPr="000D19C7">
        <w:rPr>
          <w:rFonts w:eastAsiaTheme="majorEastAsia" w:cstheme="minorHAnsi"/>
          <w:bCs/>
        </w:rPr>
        <w:t xml:space="preserve"> e i membri della Commissione giudicatrice</w:t>
      </w:r>
      <w:r w:rsidR="00290600" w:rsidRPr="000D19C7">
        <w:rPr>
          <w:rFonts w:eastAsiaTheme="majorEastAsia" w:cstheme="minorHAnsi"/>
          <w:bCs/>
        </w:rPr>
        <w:t xml:space="preserve"> si impegnano a non utilizzare </w:t>
      </w:r>
      <w:r w:rsidR="00C43D9F" w:rsidRPr="000D19C7">
        <w:rPr>
          <w:rFonts w:eastAsiaTheme="majorEastAsia" w:cstheme="minorHAnsi"/>
          <w:bCs/>
        </w:rPr>
        <w:t>le informazioni fornite dai partecipanti al Premio, se non per le fin</w:t>
      </w:r>
      <w:r w:rsidR="00370E40" w:rsidRPr="000D19C7">
        <w:rPr>
          <w:rFonts w:eastAsiaTheme="majorEastAsia" w:cstheme="minorHAnsi"/>
          <w:bCs/>
        </w:rPr>
        <w:t>alità strettamente relative al c</w:t>
      </w:r>
      <w:r w:rsidR="00C43D9F" w:rsidRPr="000D19C7">
        <w:rPr>
          <w:rFonts w:eastAsiaTheme="majorEastAsia" w:cstheme="minorHAnsi"/>
          <w:bCs/>
        </w:rPr>
        <w:t>oncorso.</w:t>
      </w:r>
      <w:r w:rsidR="00C43D9F" w:rsidRPr="000D19C7" w:rsidDel="00C43D9F">
        <w:rPr>
          <w:rFonts w:eastAsiaTheme="majorEastAsia" w:cstheme="minorHAnsi"/>
          <w:bCs/>
        </w:rPr>
        <w:t xml:space="preserve"> </w:t>
      </w:r>
      <w:r w:rsidR="00370E40" w:rsidRPr="000D19C7">
        <w:rPr>
          <w:rFonts w:eastAsiaTheme="majorEastAsia" w:cstheme="minorHAnsi"/>
          <w:bCs/>
        </w:rPr>
        <w:t>Tutte le informazioni raccolte durante lo svolgimento del concorso saranno trattate ai sensi del D. Lgs. 196/2003.</w:t>
      </w:r>
    </w:p>
    <w:p w:rsidR="00265ADC" w:rsidRPr="000D19C7" w:rsidRDefault="00265ADC" w:rsidP="009C0803">
      <w:pPr>
        <w:pStyle w:val="Default"/>
        <w:jc w:val="center"/>
        <w:rPr>
          <w:rFonts w:asciiTheme="minorHAnsi" w:hAnsiTheme="minorHAnsi" w:cstheme="minorHAnsi"/>
          <w:b/>
          <w:bCs/>
          <w:sz w:val="22"/>
          <w:szCs w:val="22"/>
        </w:rPr>
      </w:pPr>
    </w:p>
    <w:p w:rsidR="00694FA6" w:rsidRPr="000D19C7" w:rsidRDefault="0096761C" w:rsidP="009C0803">
      <w:pPr>
        <w:pStyle w:val="Default"/>
        <w:jc w:val="center"/>
        <w:rPr>
          <w:rFonts w:asciiTheme="minorHAnsi" w:hAnsiTheme="minorHAnsi" w:cstheme="minorHAnsi"/>
          <w:b/>
          <w:bCs/>
          <w:sz w:val="22"/>
          <w:szCs w:val="22"/>
        </w:rPr>
      </w:pPr>
      <w:r>
        <w:rPr>
          <w:rFonts w:asciiTheme="minorHAnsi" w:hAnsiTheme="minorHAnsi" w:cstheme="minorHAnsi"/>
          <w:b/>
          <w:bCs/>
          <w:sz w:val="22"/>
          <w:szCs w:val="22"/>
        </w:rPr>
        <w:t>ART 11</w:t>
      </w:r>
    </w:p>
    <w:p w:rsidR="00694FA6" w:rsidRPr="000D19C7" w:rsidRDefault="00694FA6" w:rsidP="00694FA6">
      <w:pPr>
        <w:pStyle w:val="Default"/>
        <w:jc w:val="both"/>
        <w:rPr>
          <w:rFonts w:asciiTheme="minorHAnsi" w:hAnsiTheme="minorHAnsi" w:cstheme="minorHAnsi"/>
          <w:bCs/>
          <w:sz w:val="22"/>
          <w:szCs w:val="22"/>
        </w:rPr>
      </w:pPr>
      <w:r w:rsidRPr="000D19C7">
        <w:rPr>
          <w:rFonts w:asciiTheme="minorHAnsi" w:hAnsiTheme="minorHAnsi" w:cstheme="minorHAnsi"/>
          <w:bCs/>
          <w:sz w:val="22"/>
          <w:szCs w:val="22"/>
        </w:rPr>
        <w:t>Sono esclusi dal Premio e non possono presentare la propria candidatura i laureati che hanno partecipato alla I edizione del Premio di laurea</w:t>
      </w:r>
      <w:r w:rsidR="00FF4A9E" w:rsidRPr="000D19C7">
        <w:rPr>
          <w:rFonts w:asciiTheme="minorHAnsi" w:hAnsiTheme="minorHAnsi" w:cstheme="minorHAnsi"/>
          <w:bCs/>
          <w:sz w:val="22"/>
          <w:szCs w:val="22"/>
        </w:rPr>
        <w:t>.</w:t>
      </w:r>
    </w:p>
    <w:p w:rsidR="00694FA6" w:rsidRPr="000D19C7" w:rsidRDefault="00694FA6" w:rsidP="009C0803">
      <w:pPr>
        <w:pStyle w:val="Default"/>
        <w:jc w:val="center"/>
        <w:rPr>
          <w:rFonts w:asciiTheme="minorHAnsi" w:hAnsiTheme="minorHAnsi" w:cstheme="minorHAnsi"/>
          <w:b/>
          <w:bCs/>
          <w:sz w:val="22"/>
          <w:szCs w:val="22"/>
        </w:rPr>
      </w:pPr>
    </w:p>
    <w:p w:rsidR="0088539C" w:rsidRPr="000D19C7" w:rsidRDefault="00EE0314" w:rsidP="009C0803">
      <w:pPr>
        <w:pStyle w:val="Default"/>
        <w:jc w:val="center"/>
        <w:rPr>
          <w:rFonts w:asciiTheme="minorHAnsi" w:hAnsiTheme="minorHAnsi" w:cstheme="minorHAnsi"/>
          <w:sz w:val="22"/>
          <w:szCs w:val="22"/>
        </w:rPr>
      </w:pPr>
      <w:r w:rsidRPr="000D19C7">
        <w:rPr>
          <w:rFonts w:asciiTheme="minorHAnsi" w:hAnsiTheme="minorHAnsi" w:cstheme="minorHAnsi"/>
          <w:b/>
          <w:bCs/>
          <w:sz w:val="22"/>
          <w:szCs w:val="22"/>
        </w:rPr>
        <w:t>ART. 1</w:t>
      </w:r>
      <w:r w:rsidR="0096761C">
        <w:rPr>
          <w:rFonts w:asciiTheme="minorHAnsi" w:hAnsiTheme="minorHAnsi" w:cstheme="minorHAnsi"/>
          <w:b/>
          <w:bCs/>
          <w:sz w:val="22"/>
          <w:szCs w:val="22"/>
        </w:rPr>
        <w:t>2</w:t>
      </w:r>
    </w:p>
    <w:p w:rsidR="0088539C" w:rsidRPr="000D19C7" w:rsidRDefault="0088539C" w:rsidP="00560C90">
      <w:pPr>
        <w:pStyle w:val="Default"/>
        <w:rPr>
          <w:rFonts w:asciiTheme="minorHAnsi" w:hAnsiTheme="minorHAnsi" w:cstheme="minorHAnsi"/>
          <w:sz w:val="22"/>
          <w:szCs w:val="22"/>
        </w:rPr>
      </w:pPr>
      <w:r w:rsidRPr="000D19C7">
        <w:rPr>
          <w:rFonts w:asciiTheme="minorHAnsi" w:hAnsiTheme="minorHAnsi" w:cstheme="minorHAnsi"/>
          <w:sz w:val="22"/>
          <w:szCs w:val="22"/>
        </w:rPr>
        <w:t xml:space="preserve">La partecipazione al presente Bando comporta la piena accettazione delle condizioni riportate. </w:t>
      </w:r>
    </w:p>
    <w:p w:rsidR="00290600" w:rsidRPr="000D19C7" w:rsidRDefault="00290600" w:rsidP="00560C90">
      <w:pPr>
        <w:pStyle w:val="Default"/>
        <w:rPr>
          <w:rFonts w:asciiTheme="minorHAnsi" w:hAnsiTheme="minorHAnsi" w:cstheme="minorHAnsi"/>
          <w:sz w:val="22"/>
          <w:szCs w:val="22"/>
        </w:rPr>
      </w:pPr>
    </w:p>
    <w:p w:rsidR="00F9718A" w:rsidRPr="000D19C7" w:rsidRDefault="00F9718A" w:rsidP="00560C90">
      <w:pPr>
        <w:pStyle w:val="Default"/>
        <w:rPr>
          <w:rFonts w:asciiTheme="minorHAnsi" w:hAnsiTheme="minorHAnsi" w:cstheme="minorHAnsi"/>
          <w:sz w:val="22"/>
          <w:szCs w:val="22"/>
        </w:rPr>
      </w:pPr>
    </w:p>
    <w:p w:rsidR="00290600" w:rsidRPr="000D19C7" w:rsidRDefault="00290600" w:rsidP="00560C90">
      <w:pPr>
        <w:pStyle w:val="Default"/>
        <w:rPr>
          <w:rFonts w:asciiTheme="minorHAnsi" w:hAnsiTheme="minorHAnsi" w:cstheme="minorHAnsi"/>
          <w:sz w:val="22"/>
          <w:szCs w:val="22"/>
        </w:rPr>
      </w:pPr>
    </w:p>
    <w:p w:rsidR="00290600" w:rsidRPr="000D19C7" w:rsidRDefault="00290600" w:rsidP="00290600">
      <w:pPr>
        <w:autoSpaceDE w:val="0"/>
        <w:autoSpaceDN w:val="0"/>
        <w:adjustRightInd w:val="0"/>
        <w:spacing w:after="0" w:line="240" w:lineRule="auto"/>
        <w:rPr>
          <w:rFonts w:cstheme="minorHAnsi"/>
        </w:rPr>
      </w:pPr>
      <w:r w:rsidRPr="000D19C7">
        <w:rPr>
          <w:rFonts w:cstheme="minorHAnsi"/>
        </w:rPr>
        <w:t>*Accenture SpA si impegna al versamento della ritenuta alla fonte del 25% sul valore del premio su</w:t>
      </w:r>
    </w:p>
    <w:p w:rsidR="00290600" w:rsidRPr="000D19C7" w:rsidRDefault="00290600" w:rsidP="00290600">
      <w:pPr>
        <w:autoSpaceDE w:val="0"/>
        <w:autoSpaceDN w:val="0"/>
        <w:adjustRightInd w:val="0"/>
        <w:spacing w:after="0" w:line="240" w:lineRule="auto"/>
        <w:rPr>
          <w:rFonts w:cstheme="minorHAnsi"/>
        </w:rPr>
      </w:pPr>
      <w:r w:rsidRPr="000D19C7">
        <w:rPr>
          <w:rFonts w:cstheme="minorHAnsi"/>
        </w:rPr>
        <w:t>indicato, prevista dall’articolo 30 del DPR 600 del 29/09/1973 e non intende esercitare il relativo</w:t>
      </w:r>
    </w:p>
    <w:p w:rsidR="00290600" w:rsidRPr="000D19C7" w:rsidRDefault="00290600" w:rsidP="00290600">
      <w:pPr>
        <w:pStyle w:val="Default"/>
        <w:rPr>
          <w:rFonts w:asciiTheme="minorHAnsi" w:hAnsiTheme="minorHAnsi" w:cstheme="minorHAnsi"/>
          <w:sz w:val="22"/>
          <w:szCs w:val="22"/>
        </w:rPr>
      </w:pPr>
      <w:r w:rsidRPr="000D19C7">
        <w:rPr>
          <w:rFonts w:asciiTheme="minorHAnsi" w:hAnsiTheme="minorHAnsi" w:cstheme="minorHAnsi"/>
          <w:sz w:val="22"/>
          <w:szCs w:val="22"/>
        </w:rPr>
        <w:t>diritto di rivalsa nei confronti del vincitore.</w:t>
      </w:r>
    </w:p>
    <w:sectPr w:rsidR="00290600" w:rsidRPr="000D19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6F9B"/>
    <w:multiLevelType w:val="hybridMultilevel"/>
    <w:tmpl w:val="DD886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A92F8B"/>
    <w:multiLevelType w:val="hybridMultilevel"/>
    <w:tmpl w:val="507E5C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A5374D"/>
    <w:multiLevelType w:val="hybridMultilevel"/>
    <w:tmpl w:val="50928AA0"/>
    <w:lvl w:ilvl="0" w:tplc="C49294F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9346AA"/>
    <w:multiLevelType w:val="hybridMultilevel"/>
    <w:tmpl w:val="6FD0E716"/>
    <w:lvl w:ilvl="0" w:tplc="E49607A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E24823"/>
    <w:multiLevelType w:val="hybridMultilevel"/>
    <w:tmpl w:val="473419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2D"/>
    <w:rsid w:val="0000695A"/>
    <w:rsid w:val="00026BA5"/>
    <w:rsid w:val="00030850"/>
    <w:rsid w:val="000329B1"/>
    <w:rsid w:val="000D19C7"/>
    <w:rsid w:val="000D722D"/>
    <w:rsid w:val="00152B04"/>
    <w:rsid w:val="001702AA"/>
    <w:rsid w:val="00172D5C"/>
    <w:rsid w:val="0017632C"/>
    <w:rsid w:val="001C69EC"/>
    <w:rsid w:val="001D37DF"/>
    <w:rsid w:val="002044F1"/>
    <w:rsid w:val="00230D9F"/>
    <w:rsid w:val="00252ACA"/>
    <w:rsid w:val="00261774"/>
    <w:rsid w:val="00265ADC"/>
    <w:rsid w:val="00290600"/>
    <w:rsid w:val="0029233C"/>
    <w:rsid w:val="002974FC"/>
    <w:rsid w:val="002C6DDF"/>
    <w:rsid w:val="0030199D"/>
    <w:rsid w:val="003059F5"/>
    <w:rsid w:val="00315CDF"/>
    <w:rsid w:val="003268CA"/>
    <w:rsid w:val="00370E40"/>
    <w:rsid w:val="00404318"/>
    <w:rsid w:val="004269D2"/>
    <w:rsid w:val="00463DC5"/>
    <w:rsid w:val="004A521F"/>
    <w:rsid w:val="004B2360"/>
    <w:rsid w:val="00501C03"/>
    <w:rsid w:val="005170AC"/>
    <w:rsid w:val="00540485"/>
    <w:rsid w:val="00543FE9"/>
    <w:rsid w:val="00560342"/>
    <w:rsid w:val="00560C90"/>
    <w:rsid w:val="005721B6"/>
    <w:rsid w:val="005A405A"/>
    <w:rsid w:val="005C34E8"/>
    <w:rsid w:val="005C4B90"/>
    <w:rsid w:val="005D6900"/>
    <w:rsid w:val="005F6295"/>
    <w:rsid w:val="006407B9"/>
    <w:rsid w:val="00641B45"/>
    <w:rsid w:val="00662BD3"/>
    <w:rsid w:val="00665513"/>
    <w:rsid w:val="00694FA6"/>
    <w:rsid w:val="006B0EA6"/>
    <w:rsid w:val="006D4C1A"/>
    <w:rsid w:val="006F5E37"/>
    <w:rsid w:val="00763237"/>
    <w:rsid w:val="00776CA6"/>
    <w:rsid w:val="007C6B53"/>
    <w:rsid w:val="007D2A64"/>
    <w:rsid w:val="007D5985"/>
    <w:rsid w:val="00811793"/>
    <w:rsid w:val="00857C96"/>
    <w:rsid w:val="00865B4B"/>
    <w:rsid w:val="0088539C"/>
    <w:rsid w:val="008C4E54"/>
    <w:rsid w:val="00926CF1"/>
    <w:rsid w:val="00957E58"/>
    <w:rsid w:val="0096761C"/>
    <w:rsid w:val="0098210B"/>
    <w:rsid w:val="00993665"/>
    <w:rsid w:val="00996772"/>
    <w:rsid w:val="009C0803"/>
    <w:rsid w:val="009E44FC"/>
    <w:rsid w:val="00A369B5"/>
    <w:rsid w:val="00A403E1"/>
    <w:rsid w:val="00A67A95"/>
    <w:rsid w:val="00A729F0"/>
    <w:rsid w:val="00AB2800"/>
    <w:rsid w:val="00AC6BF0"/>
    <w:rsid w:val="00B164AD"/>
    <w:rsid w:val="00B85890"/>
    <w:rsid w:val="00B863EA"/>
    <w:rsid w:val="00B86517"/>
    <w:rsid w:val="00BD44B0"/>
    <w:rsid w:val="00C017C2"/>
    <w:rsid w:val="00C43D9F"/>
    <w:rsid w:val="00CA33C3"/>
    <w:rsid w:val="00CB4AA9"/>
    <w:rsid w:val="00CB6E49"/>
    <w:rsid w:val="00CE26A0"/>
    <w:rsid w:val="00CE490D"/>
    <w:rsid w:val="00D46D17"/>
    <w:rsid w:val="00D53FE1"/>
    <w:rsid w:val="00D575E2"/>
    <w:rsid w:val="00D862FB"/>
    <w:rsid w:val="00D86DF4"/>
    <w:rsid w:val="00DE5B0B"/>
    <w:rsid w:val="00DF0969"/>
    <w:rsid w:val="00E00260"/>
    <w:rsid w:val="00E61E08"/>
    <w:rsid w:val="00EA512D"/>
    <w:rsid w:val="00ED5A72"/>
    <w:rsid w:val="00EE0314"/>
    <w:rsid w:val="00EF4319"/>
    <w:rsid w:val="00F5209E"/>
    <w:rsid w:val="00F775CF"/>
    <w:rsid w:val="00F84B9A"/>
    <w:rsid w:val="00F9718A"/>
    <w:rsid w:val="00FC5FA0"/>
    <w:rsid w:val="00FD244D"/>
    <w:rsid w:val="00FF4A9E"/>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3">
    <w:name w:val="heading 3"/>
    <w:basedOn w:val="Normal"/>
    <w:next w:val="Normal"/>
    <w:link w:val="Heading3Char"/>
    <w:uiPriority w:val="9"/>
    <w:semiHidden/>
    <w:unhideWhenUsed/>
    <w:qFormat/>
    <w:rsid w:val="00560C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B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996772"/>
    <w:pPr>
      <w:ind w:left="720"/>
      <w:contextualSpacing/>
    </w:pPr>
  </w:style>
  <w:style w:type="paragraph" w:customStyle="1" w:styleId="Default">
    <w:name w:val="Default"/>
    <w:rsid w:val="0088539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60C90"/>
    <w:rPr>
      <w:rFonts w:ascii="Times New Roman" w:eastAsia="Times New Roman" w:hAnsi="Times New Roman" w:cs="Times New Roman"/>
      <w:b/>
      <w:bCs/>
      <w:kern w:val="36"/>
      <w:sz w:val="48"/>
      <w:szCs w:val="48"/>
      <w:lang w:eastAsia="it-IT"/>
    </w:rPr>
  </w:style>
  <w:style w:type="character" w:customStyle="1" w:styleId="Heading3Char">
    <w:name w:val="Heading 3 Char"/>
    <w:basedOn w:val="DefaultParagraphFont"/>
    <w:link w:val="Heading3"/>
    <w:uiPriority w:val="9"/>
    <w:semiHidden/>
    <w:rsid w:val="00560C90"/>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8117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1793"/>
    <w:rPr>
      <w:rFonts w:ascii="Calibri" w:hAnsi="Calibri"/>
      <w:szCs w:val="21"/>
    </w:rPr>
  </w:style>
  <w:style w:type="paragraph" w:styleId="BalloonText">
    <w:name w:val="Balloon Text"/>
    <w:basedOn w:val="Normal"/>
    <w:link w:val="BalloonTextChar"/>
    <w:uiPriority w:val="99"/>
    <w:semiHidden/>
    <w:unhideWhenUsed/>
    <w:rsid w:val="0042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3">
    <w:name w:val="heading 3"/>
    <w:basedOn w:val="Normal"/>
    <w:next w:val="Normal"/>
    <w:link w:val="Heading3Char"/>
    <w:uiPriority w:val="9"/>
    <w:semiHidden/>
    <w:unhideWhenUsed/>
    <w:qFormat/>
    <w:rsid w:val="00560C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B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996772"/>
    <w:pPr>
      <w:ind w:left="720"/>
      <w:contextualSpacing/>
    </w:pPr>
  </w:style>
  <w:style w:type="paragraph" w:customStyle="1" w:styleId="Default">
    <w:name w:val="Default"/>
    <w:rsid w:val="0088539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60C90"/>
    <w:rPr>
      <w:rFonts w:ascii="Times New Roman" w:eastAsia="Times New Roman" w:hAnsi="Times New Roman" w:cs="Times New Roman"/>
      <w:b/>
      <w:bCs/>
      <w:kern w:val="36"/>
      <w:sz w:val="48"/>
      <w:szCs w:val="48"/>
      <w:lang w:eastAsia="it-IT"/>
    </w:rPr>
  </w:style>
  <w:style w:type="character" w:customStyle="1" w:styleId="Heading3Char">
    <w:name w:val="Heading 3 Char"/>
    <w:basedOn w:val="DefaultParagraphFont"/>
    <w:link w:val="Heading3"/>
    <w:uiPriority w:val="9"/>
    <w:semiHidden/>
    <w:rsid w:val="00560C90"/>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8117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1793"/>
    <w:rPr>
      <w:rFonts w:ascii="Calibri" w:hAnsi="Calibri"/>
      <w:szCs w:val="21"/>
    </w:rPr>
  </w:style>
  <w:style w:type="paragraph" w:styleId="BalloonText">
    <w:name w:val="Balloon Text"/>
    <w:basedOn w:val="Normal"/>
    <w:link w:val="BalloonTextChar"/>
    <w:uiPriority w:val="99"/>
    <w:semiHidden/>
    <w:unhideWhenUsed/>
    <w:rsid w:val="0042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0064">
      <w:bodyDiv w:val="1"/>
      <w:marLeft w:val="0"/>
      <w:marRight w:val="0"/>
      <w:marTop w:val="0"/>
      <w:marBottom w:val="0"/>
      <w:divBdr>
        <w:top w:val="none" w:sz="0" w:space="0" w:color="auto"/>
        <w:left w:val="none" w:sz="0" w:space="0" w:color="auto"/>
        <w:bottom w:val="none" w:sz="0" w:space="0" w:color="auto"/>
        <w:right w:val="none" w:sz="0" w:space="0" w:color="auto"/>
      </w:divBdr>
    </w:div>
    <w:div w:id="809788023">
      <w:bodyDiv w:val="1"/>
      <w:marLeft w:val="0"/>
      <w:marRight w:val="0"/>
      <w:marTop w:val="0"/>
      <w:marBottom w:val="0"/>
      <w:divBdr>
        <w:top w:val="none" w:sz="0" w:space="0" w:color="auto"/>
        <w:left w:val="none" w:sz="0" w:space="0" w:color="auto"/>
        <w:bottom w:val="none" w:sz="0" w:space="0" w:color="auto"/>
        <w:right w:val="none" w:sz="0" w:space="0" w:color="auto"/>
      </w:divBdr>
    </w:div>
    <w:div w:id="890846071">
      <w:bodyDiv w:val="1"/>
      <w:marLeft w:val="0"/>
      <w:marRight w:val="0"/>
      <w:marTop w:val="0"/>
      <w:marBottom w:val="0"/>
      <w:divBdr>
        <w:top w:val="none" w:sz="0" w:space="0" w:color="auto"/>
        <w:left w:val="none" w:sz="0" w:space="0" w:color="auto"/>
        <w:bottom w:val="none" w:sz="0" w:space="0" w:color="auto"/>
        <w:right w:val="none" w:sz="0" w:space="0" w:color="auto"/>
      </w:divBdr>
    </w:div>
    <w:div w:id="1026910644">
      <w:bodyDiv w:val="1"/>
      <w:marLeft w:val="0"/>
      <w:marRight w:val="0"/>
      <w:marTop w:val="0"/>
      <w:marBottom w:val="0"/>
      <w:divBdr>
        <w:top w:val="none" w:sz="0" w:space="0" w:color="auto"/>
        <w:left w:val="none" w:sz="0" w:space="0" w:color="auto"/>
        <w:bottom w:val="none" w:sz="0" w:space="0" w:color="auto"/>
        <w:right w:val="none" w:sz="0" w:space="0" w:color="auto"/>
      </w:divBdr>
      <w:divsChild>
        <w:div w:id="445269692">
          <w:marLeft w:val="0"/>
          <w:marRight w:val="0"/>
          <w:marTop w:val="0"/>
          <w:marBottom w:val="0"/>
          <w:divBdr>
            <w:top w:val="none" w:sz="0" w:space="0" w:color="auto"/>
            <w:left w:val="none" w:sz="0" w:space="0" w:color="auto"/>
            <w:bottom w:val="none" w:sz="0" w:space="0" w:color="auto"/>
            <w:right w:val="none" w:sz="0" w:space="0" w:color="auto"/>
          </w:divBdr>
          <w:divsChild>
            <w:div w:id="13965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2802">
      <w:bodyDiv w:val="1"/>
      <w:marLeft w:val="0"/>
      <w:marRight w:val="0"/>
      <w:marTop w:val="0"/>
      <w:marBottom w:val="0"/>
      <w:divBdr>
        <w:top w:val="none" w:sz="0" w:space="0" w:color="auto"/>
        <w:left w:val="none" w:sz="0" w:space="0" w:color="auto"/>
        <w:bottom w:val="none" w:sz="0" w:space="0" w:color="auto"/>
        <w:right w:val="none" w:sz="0" w:space="0" w:color="auto"/>
      </w:divBdr>
    </w:div>
    <w:div w:id="1422533265">
      <w:bodyDiv w:val="1"/>
      <w:marLeft w:val="0"/>
      <w:marRight w:val="0"/>
      <w:marTop w:val="0"/>
      <w:marBottom w:val="0"/>
      <w:divBdr>
        <w:top w:val="none" w:sz="0" w:space="0" w:color="auto"/>
        <w:left w:val="none" w:sz="0" w:space="0" w:color="auto"/>
        <w:bottom w:val="none" w:sz="0" w:space="0" w:color="auto"/>
        <w:right w:val="none" w:sz="0" w:space="0" w:color="auto"/>
      </w:divBdr>
    </w:div>
    <w:div w:id="1619218624">
      <w:bodyDiv w:val="1"/>
      <w:marLeft w:val="0"/>
      <w:marRight w:val="0"/>
      <w:marTop w:val="0"/>
      <w:marBottom w:val="0"/>
      <w:divBdr>
        <w:top w:val="none" w:sz="0" w:space="0" w:color="auto"/>
        <w:left w:val="none" w:sz="0" w:space="0" w:color="auto"/>
        <w:bottom w:val="none" w:sz="0" w:space="0" w:color="auto"/>
        <w:right w:val="none" w:sz="0" w:space="0" w:color="auto"/>
      </w:divBdr>
    </w:div>
    <w:div w:id="1961106294">
      <w:bodyDiv w:val="1"/>
      <w:marLeft w:val="0"/>
      <w:marRight w:val="0"/>
      <w:marTop w:val="0"/>
      <w:marBottom w:val="0"/>
      <w:divBdr>
        <w:top w:val="none" w:sz="0" w:space="0" w:color="auto"/>
        <w:left w:val="none" w:sz="0" w:space="0" w:color="auto"/>
        <w:bottom w:val="none" w:sz="0" w:space="0" w:color="auto"/>
        <w:right w:val="none" w:sz="0" w:space="0" w:color="auto"/>
      </w:divBdr>
      <w:divsChild>
        <w:div w:id="1924533182">
          <w:marLeft w:val="0"/>
          <w:marRight w:val="0"/>
          <w:marTop w:val="0"/>
          <w:marBottom w:val="0"/>
          <w:divBdr>
            <w:top w:val="none" w:sz="0" w:space="0" w:color="auto"/>
            <w:left w:val="none" w:sz="0" w:space="0" w:color="auto"/>
            <w:bottom w:val="none" w:sz="0" w:space="0" w:color="auto"/>
            <w:right w:val="none" w:sz="0" w:space="0" w:color="auto"/>
          </w:divBdr>
          <w:divsChild>
            <w:div w:id="9797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6058</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Accenture</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Gelosia</dc:creator>
  <cp:lastModifiedBy>Gelosia, Francesca</cp:lastModifiedBy>
  <cp:revision>2</cp:revision>
  <dcterms:created xsi:type="dcterms:W3CDTF">2014-03-04T11:05:00Z</dcterms:created>
  <dcterms:modified xsi:type="dcterms:W3CDTF">2014-03-04T11:05:00Z</dcterms:modified>
</cp:coreProperties>
</file>